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D9" w:rsidRPr="00DB0BE2" w:rsidRDefault="00F55E8D" w:rsidP="00362BCD">
      <w:pPr>
        <w:jc w:val="center"/>
        <w:rPr>
          <w:rFonts w:ascii="黑体" w:eastAsia="黑体" w:hAnsi="黑体" w:cs="方正小标宋简体"/>
          <w:b/>
          <w:sz w:val="32"/>
          <w:szCs w:val="32"/>
        </w:rPr>
      </w:pPr>
      <w:r w:rsidRPr="00DB0BE2">
        <w:rPr>
          <w:rFonts w:ascii="黑体" w:eastAsia="黑体" w:hAnsi="黑体" w:cs="方正小标宋简体" w:hint="eastAsia"/>
          <w:b/>
          <w:sz w:val="32"/>
          <w:szCs w:val="32"/>
        </w:rPr>
        <w:t>天津国际油气交易中心</w:t>
      </w:r>
    </w:p>
    <w:p w:rsidR="007461D9" w:rsidRPr="00DB0BE2" w:rsidRDefault="00F55E8D" w:rsidP="00DB0BE2">
      <w:pPr>
        <w:jc w:val="center"/>
        <w:rPr>
          <w:rFonts w:ascii="黑体" w:eastAsia="黑体" w:hAnsi="黑体" w:cs="方正小标宋简体" w:hint="eastAsia"/>
          <w:b/>
          <w:sz w:val="32"/>
          <w:szCs w:val="32"/>
        </w:rPr>
      </w:pPr>
      <w:r w:rsidRPr="00DB0BE2">
        <w:rPr>
          <w:rFonts w:ascii="黑体" w:eastAsia="黑体" w:hAnsi="黑体" w:cs="方正小标宋简体" w:hint="eastAsia"/>
          <w:b/>
          <w:sz w:val="32"/>
          <w:szCs w:val="32"/>
        </w:rPr>
        <w:t>交易商用户交易须知</w:t>
      </w:r>
    </w:p>
    <w:p w:rsidR="007461D9" w:rsidRPr="00347D84" w:rsidRDefault="00F55E8D" w:rsidP="00DB0BE2">
      <w:pPr>
        <w:spacing w:line="500" w:lineRule="exact"/>
        <w:ind w:firstLineChars="200" w:firstLine="562"/>
        <w:rPr>
          <w:rFonts w:ascii="仿宋" w:eastAsia="仿宋" w:hAnsi="仿宋" w:cs="仿宋"/>
          <w:b/>
          <w:bCs/>
          <w:kern w:val="0"/>
          <w:sz w:val="28"/>
          <w:szCs w:val="28"/>
        </w:rPr>
      </w:pPr>
      <w:r w:rsidRPr="00347D84">
        <w:rPr>
          <w:rFonts w:ascii="仿宋" w:eastAsia="仿宋" w:hAnsi="仿宋" w:cs="仿宋" w:hint="eastAsia"/>
          <w:b/>
          <w:bCs/>
          <w:kern w:val="0"/>
          <w:sz w:val="28"/>
          <w:szCs w:val="28"/>
        </w:rPr>
        <w:t xml:space="preserve">尊敬的交易商用户：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sz w:val="28"/>
          <w:szCs w:val="28"/>
        </w:rPr>
        <w:t>为在天津国际油气交易中心（以下简称“交易中心”）顺利开展现货交易交收业务（以下简称“现货交易”），参与交易中心现货交易交收的交易商需充分阅</w:t>
      </w:r>
      <w:r w:rsidRPr="00347D84">
        <w:rPr>
          <w:rFonts w:ascii="仿宋" w:eastAsia="仿宋" w:hAnsi="仿宋" w:cs="仿宋" w:hint="eastAsia"/>
          <w:kern w:val="0"/>
          <w:sz w:val="28"/>
          <w:szCs w:val="28"/>
        </w:rPr>
        <w:t>读并理解</w:t>
      </w:r>
      <w:r w:rsidRPr="00347D84">
        <w:rPr>
          <w:rFonts w:ascii="仿宋" w:eastAsia="仿宋" w:hAnsi="仿宋" w:cs="仿宋" w:hint="eastAsia"/>
          <w:sz w:val="28"/>
          <w:szCs w:val="28"/>
        </w:rPr>
        <w:t>《天津国际油气交易中心现货交易管理总则（试行）》、《天津国际油气交易中心交易商管理办法（试行）》、《天津国际油气交易中心违规违约管理办法（试行）》、《天津国际油气交易中心资金与结算管理办法（试行）》、《天津国际油气交易中心风险控制管理办法（试行）》等交易中心发布的各类交易交收规则和规定</w:t>
      </w:r>
      <w:r w:rsidRPr="00347D84">
        <w:rPr>
          <w:rFonts w:ascii="仿宋" w:eastAsia="仿宋" w:hAnsi="仿宋" w:cs="仿宋" w:hint="eastAsia"/>
          <w:kern w:val="0"/>
          <w:sz w:val="28"/>
          <w:szCs w:val="28"/>
        </w:rPr>
        <w:t>，并</w:t>
      </w:r>
      <w:r w:rsidRPr="00347D84">
        <w:rPr>
          <w:rFonts w:ascii="仿宋" w:eastAsia="仿宋" w:hAnsi="仿宋" w:cs="仿宋" w:hint="eastAsia"/>
          <w:sz w:val="28"/>
          <w:szCs w:val="28"/>
        </w:rPr>
        <w:t>严格按照相关规则从事交易中心组织的现货商品线上交易活动</w:t>
      </w:r>
      <w:r w:rsidRPr="00347D84">
        <w:rPr>
          <w:rFonts w:ascii="仿宋" w:eastAsia="仿宋" w:hAnsi="仿宋" w:cs="仿宋" w:hint="eastAsia"/>
          <w:kern w:val="0"/>
          <w:sz w:val="28"/>
          <w:szCs w:val="28"/>
        </w:rPr>
        <w:t>，另需明确以下交易商须知：</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 xml:space="preserve">一、申请成为交易中心交易商必须具备下列条件：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（一）合法设立并有效存续的境内外企业法人或其他经济组织；</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 xml:space="preserve">（二）从事经营交易中心交易现货商品相关业务，具有与交易中心交易商品相关经营资质，且三年之内不存在被市场监督管理部门企业信息公示系统列为异常的情形，并且没有被人民法院列入失信被执行名单；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 xml:space="preserve">（三）具有健全的组织机构、财务管理制度及完善的业务管理制度；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（四）具有固定的经营场所和必要的经营设施；</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（五）具有一定资金实力及良好的企业信誉和市场声誉，拥有一定的经济承受能力和风险控制能力；</w:t>
      </w:r>
    </w:p>
    <w:p w:rsidR="007461D9" w:rsidRPr="00347D84" w:rsidRDefault="00F55E8D" w:rsidP="00DB0BE2">
      <w:pPr>
        <w:widowControl/>
        <w:shd w:val="clear" w:color="auto" w:fill="FFFFFF"/>
        <w:spacing w:line="500" w:lineRule="exact"/>
        <w:ind w:firstLineChars="200" w:firstLine="560"/>
        <w:rPr>
          <w:rFonts w:ascii="仿宋" w:eastAsia="仿宋" w:hAnsi="仿宋" w:cs="仿宋"/>
          <w:color w:val="333333"/>
          <w:kern w:val="0"/>
          <w:sz w:val="28"/>
          <w:szCs w:val="28"/>
        </w:rPr>
      </w:pPr>
      <w:r w:rsidRPr="00347D84">
        <w:rPr>
          <w:rFonts w:ascii="仿宋" w:eastAsia="仿宋" w:hAnsi="仿宋" w:cs="仿宋" w:hint="eastAsia"/>
          <w:color w:val="333333"/>
          <w:kern w:val="0"/>
          <w:sz w:val="28"/>
          <w:szCs w:val="28"/>
        </w:rPr>
        <w:t>（六）承诺遵守本办法和交易中心相关管理办法及实施细则；</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 xml:space="preserve">（七）满足交易中心规定的其他必要条件。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 xml:space="preserve">二、申请成为交易商须向交易中心提交下列法律文件：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（一）填写《天津国际油气交易中心交易商注册登记表》，详细</w:t>
      </w:r>
      <w:r w:rsidRPr="00347D84">
        <w:rPr>
          <w:rFonts w:ascii="仿宋" w:eastAsia="仿宋" w:hAnsi="仿宋" w:cs="仿宋" w:hint="eastAsia"/>
          <w:kern w:val="0"/>
          <w:sz w:val="28"/>
          <w:szCs w:val="28"/>
        </w:rPr>
        <w:lastRenderedPageBreak/>
        <w:t xml:space="preserve">阅读理解《天津国际油气交易中心现货交易风险提示书》、《天津国际油气交易中心交易商用户交易须知》等文件并确认；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（二）企业法人或者非法人组织营业执照副本复印件（加盖公章）；</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（三）企业法定代表人、非法人组织负责人身份证复印件（加盖公章）；</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（四）企业法定代表人、非法人组织负责人委托代理人办理申请的，则委托代理人应取得法人委托授权；委托代理人身份证复印件（加盖公章）；</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（五）交易中心认为需要提供的其他文件。</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lang w:eastAsia="zh-Hans"/>
        </w:rPr>
        <w:t>三、</w:t>
      </w:r>
      <w:r w:rsidRPr="00347D84">
        <w:rPr>
          <w:rFonts w:ascii="仿宋" w:eastAsia="仿宋" w:hAnsi="仿宋" w:cs="仿宋" w:hint="eastAsia"/>
          <w:kern w:val="0"/>
          <w:sz w:val="28"/>
          <w:szCs w:val="28"/>
        </w:rPr>
        <w:t>交易商须以真实的、合法的身份开户。交易商须保证资金来源的合法性。交易商须保证所提供的企业法人营业执照等证件加盖公章的复印件及其他有关资料的真实性、合法性、有效性，并确认其与原件一致。经交易中心审核同意后，交易商与交易中心签订《天津国际油气交易中心交易商入市交易协议》。</w:t>
      </w:r>
    </w:p>
    <w:p w:rsidR="007461D9" w:rsidRPr="00347D84" w:rsidRDefault="00F55E8D" w:rsidP="00DB0BE2">
      <w:pPr>
        <w:spacing w:line="500" w:lineRule="exact"/>
        <w:ind w:firstLineChars="200" w:firstLine="560"/>
        <w:rPr>
          <w:rFonts w:ascii="仿宋" w:eastAsia="仿宋" w:hAnsi="仿宋" w:cs="仿宋"/>
          <w:sz w:val="28"/>
          <w:szCs w:val="28"/>
        </w:rPr>
      </w:pPr>
      <w:r w:rsidRPr="00347D84">
        <w:rPr>
          <w:rFonts w:ascii="仿宋" w:eastAsia="仿宋" w:hAnsi="仿宋" w:cs="仿宋" w:hint="eastAsia"/>
          <w:kern w:val="0"/>
          <w:sz w:val="28"/>
          <w:szCs w:val="28"/>
          <w:lang w:eastAsia="zh-Hans"/>
        </w:rPr>
        <w:t>四</w:t>
      </w:r>
      <w:r w:rsidRPr="00347D84">
        <w:rPr>
          <w:rFonts w:ascii="仿宋" w:eastAsia="仿宋" w:hAnsi="仿宋" w:cs="仿宋" w:hint="eastAsia"/>
          <w:kern w:val="0"/>
          <w:sz w:val="28"/>
          <w:szCs w:val="28"/>
        </w:rPr>
        <w:t>、交易商</w:t>
      </w:r>
      <w:r w:rsidRPr="00347D84">
        <w:rPr>
          <w:rFonts w:ascii="仿宋" w:eastAsia="仿宋" w:hAnsi="仿宋" w:cs="仿宋" w:hint="eastAsia"/>
          <w:sz w:val="28"/>
          <w:szCs w:val="28"/>
        </w:rPr>
        <w:t xml:space="preserve">须在交易中心指定的结算银行开设交易资金结算账户，建立交易商、交易中心和指定结算银行间的交易资金结算服务关系。该账户用于交易商履约定金、结算补偿金、预计补偿金、订单变更补偿金、货款、服务费及与交易交收相关的其他款项的资金的清算。 </w:t>
      </w:r>
    </w:p>
    <w:p w:rsidR="007461D9" w:rsidRPr="00347D84" w:rsidRDefault="00F55E8D" w:rsidP="00DB0BE2">
      <w:pPr>
        <w:spacing w:line="500" w:lineRule="exact"/>
        <w:ind w:firstLineChars="200" w:firstLine="560"/>
        <w:rPr>
          <w:rFonts w:ascii="仿宋" w:eastAsia="仿宋" w:hAnsi="仿宋" w:cs="仿宋"/>
          <w:kern w:val="0"/>
          <w:sz w:val="28"/>
          <w:szCs w:val="28"/>
        </w:rPr>
      </w:pPr>
      <w:r w:rsidRPr="00347D84">
        <w:rPr>
          <w:rFonts w:ascii="仿宋" w:eastAsia="仿宋" w:hAnsi="仿宋" w:cs="仿宋" w:hint="eastAsia"/>
          <w:kern w:val="0"/>
          <w:sz w:val="28"/>
          <w:szCs w:val="28"/>
        </w:rPr>
        <w:t xml:space="preserve">五、其他事项 </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交易商需知晓从事现货交易具有风险，交易商应在开户前对自身的经济承受能力和心理承受能力做出客观判断，应仔细阅读并确认《天津国际油气交易中心现货交易风险提示书》。</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 xml:space="preserve">交易商应知晓交易中心及其工作人员不得接受交易商的全权委托，交易商也不得要求交易中心或其工作人员以全权委托的方式进行现货交易。全权委托指交易中心或其工作人员代交易商决定交易指令的内容。 </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交易商须对其委托代理人的代理行为承担民事责任。交易商</w:t>
      </w:r>
      <w:r w:rsidRPr="00DB0BE2">
        <w:rPr>
          <w:rFonts w:ascii="仿宋" w:eastAsia="仿宋" w:hAnsi="仿宋" w:cs="仿宋" w:hint="eastAsia"/>
          <w:kern w:val="0"/>
          <w:sz w:val="28"/>
          <w:szCs w:val="28"/>
        </w:rPr>
        <w:lastRenderedPageBreak/>
        <w:t xml:space="preserve">的委托代理人是基于交易商的授权,代表交易商实施民事行为的人，代理人在代理权限内以交易商名义进行的行为即视为交易商行为。代理人对交易商负责，交易商对其代理人的代理行为相关后果承担一切责任。 </w:t>
      </w:r>
    </w:p>
    <w:p w:rsidR="00DB0BE2" w:rsidRP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交易中心</w:t>
      </w:r>
      <w:r w:rsidRPr="00DB0BE2">
        <w:rPr>
          <w:rFonts w:ascii="仿宋" w:eastAsia="仿宋" w:hAnsi="仿宋" w:cs="仿宋" w:hint="eastAsia"/>
          <w:sz w:val="28"/>
          <w:szCs w:val="28"/>
        </w:rPr>
        <w:t>对交易商的委托事项和交易记录等信息负有保密义务，非法定有权机关</w:t>
      </w:r>
      <w:r w:rsidRPr="00DB0BE2">
        <w:rPr>
          <w:rFonts w:ascii="仿宋" w:eastAsia="仿宋" w:hAnsi="仿宋" w:cs="仿宋" w:hint="eastAsia"/>
          <w:sz w:val="28"/>
          <w:szCs w:val="28"/>
          <w:lang w:eastAsia="zh-Hans"/>
        </w:rPr>
        <w:t>要求</w:t>
      </w:r>
      <w:r w:rsidRPr="00DB0BE2">
        <w:rPr>
          <w:rFonts w:ascii="仿宋" w:eastAsia="仿宋" w:hAnsi="仿宋" w:cs="仿宋" w:hint="eastAsia"/>
          <w:sz w:val="28"/>
          <w:szCs w:val="28"/>
        </w:rPr>
        <w:t>或未经交易商书面同意，不得向第三方透露。</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 xml:space="preserve">为保障现货交易资金的安全，交易商应当知晓并遵守交易中心有关交易资金安全存取的规定，应当确保将资金存入其在交易中心开设的交易资金结算账户中，资金的划转应当通过交易商在交易中心开立的交易资金结算账户和指定银行结算账户中办理。 </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 xml:space="preserve">凡是通过交易账户和交易密码的交易都视为交易商的交易。 </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交易商在获得交易账户和对应的初始交易密码后，即可登录交易中心电子交易系统进行交易。交易商应及时修改初始交易密码，并确保交易密码的安全。</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商应妥善保管密码。如发生密码遗失、泄露、被窃或其他影响交易安全的情况，交易商应立即向交易中心书面申请挂失手续。如情况紧急，可由交易商指定的人员向交易中心提出紧急挂失，紧急挂失前已成交的合同不受影响。交易中心在收到挂失申请后，冻结该交易商的交易账户，由此引起的一切法律后果由该交易商承担。</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交易商在办理紧急挂失手续后的3个工作日内（从交易中心收到紧急挂失申请后的下一个工作日算起），交易商必须向交易中心提交加盖公章的书面挂失确认函。</w:t>
      </w:r>
    </w:p>
    <w:p w:rsidR="00DB0BE2" w:rsidRDefault="00F55E8D" w:rsidP="00DB0BE2">
      <w:pPr>
        <w:pStyle w:val="a9"/>
        <w:numPr>
          <w:ilvl w:val="0"/>
          <w:numId w:val="1"/>
        </w:numPr>
        <w:tabs>
          <w:tab w:val="left" w:pos="993"/>
        </w:tabs>
        <w:spacing w:line="500" w:lineRule="exact"/>
        <w:ind w:left="0" w:firstLineChars="0" w:firstLine="420"/>
        <w:rPr>
          <w:rFonts w:ascii="仿宋" w:eastAsia="仿宋" w:hAnsi="仿宋" w:cs="仿宋"/>
          <w:kern w:val="0"/>
          <w:sz w:val="28"/>
          <w:szCs w:val="28"/>
        </w:rPr>
      </w:pPr>
      <w:r w:rsidRPr="00DB0BE2">
        <w:rPr>
          <w:rFonts w:ascii="仿宋" w:eastAsia="仿宋" w:hAnsi="仿宋" w:cs="仿宋" w:hint="eastAsia"/>
          <w:kern w:val="0"/>
          <w:sz w:val="28"/>
          <w:szCs w:val="28"/>
        </w:rPr>
        <w:t>交易商被冻结的交易账户解冻，须由交易商向交易中心提交书面解冻申请，交易中心收到申请后，及时将重置密码通过短信或邮件的方式发送至该交易商指定人员手机和指定邮箱。</w:t>
      </w:r>
    </w:p>
    <w:p w:rsidR="007461D9" w:rsidRPr="00DB0BE2" w:rsidRDefault="00F55E8D" w:rsidP="00DB0BE2">
      <w:pPr>
        <w:pStyle w:val="a9"/>
        <w:numPr>
          <w:ilvl w:val="0"/>
          <w:numId w:val="1"/>
        </w:numPr>
        <w:tabs>
          <w:tab w:val="left" w:pos="993"/>
          <w:tab w:val="left" w:pos="1276"/>
        </w:tabs>
        <w:spacing w:line="500" w:lineRule="exact"/>
        <w:ind w:left="0" w:firstLineChars="0" w:firstLine="420"/>
        <w:rPr>
          <w:rFonts w:ascii="仿宋" w:eastAsia="仿宋" w:hAnsi="仿宋" w:cs="仿宋"/>
          <w:kern w:val="0"/>
          <w:sz w:val="28"/>
          <w:szCs w:val="28"/>
        </w:rPr>
      </w:pPr>
      <w:bookmarkStart w:id="0" w:name="_GoBack"/>
      <w:bookmarkEnd w:id="0"/>
      <w:r w:rsidRPr="00DB0BE2">
        <w:rPr>
          <w:rFonts w:ascii="仿宋" w:eastAsia="仿宋" w:hAnsi="仿宋" w:cs="仿宋" w:hint="eastAsia"/>
          <w:kern w:val="0"/>
          <w:sz w:val="28"/>
          <w:szCs w:val="28"/>
        </w:rPr>
        <w:t>因交易中心</w:t>
      </w:r>
      <w:r w:rsidRPr="00DB0BE2">
        <w:rPr>
          <w:rFonts w:ascii="仿宋" w:eastAsia="仿宋" w:hAnsi="仿宋" w:cs="仿宋" w:hint="eastAsia"/>
          <w:kern w:val="0"/>
          <w:sz w:val="28"/>
          <w:szCs w:val="28"/>
          <w:lang w:bidi="ar"/>
        </w:rPr>
        <w:t>无法控制的系统故障、设备故障、通讯故障等突发事故致使无法交易或交易中断的，交易中心有权暂停交易，恢复</w:t>
      </w:r>
      <w:r w:rsidRPr="00DB0BE2">
        <w:rPr>
          <w:rFonts w:ascii="仿宋" w:eastAsia="仿宋" w:hAnsi="仿宋" w:cs="仿宋" w:hint="eastAsia"/>
          <w:kern w:val="0"/>
          <w:sz w:val="28"/>
          <w:szCs w:val="28"/>
          <w:lang w:bidi="ar"/>
        </w:rPr>
        <w:lastRenderedPageBreak/>
        <w:t>交易时以故障发生前交易系统最终记录的交易数据或上一交易日交易结算数据为有效交易数据。</w:t>
      </w:r>
    </w:p>
    <w:p w:rsidR="007461D9" w:rsidRPr="00347D84" w:rsidRDefault="00F55E8D" w:rsidP="00DB0BE2">
      <w:pPr>
        <w:widowControl/>
        <w:spacing w:line="500" w:lineRule="exact"/>
        <w:ind w:firstLineChars="200" w:firstLine="562"/>
        <w:rPr>
          <w:rFonts w:ascii="仿宋" w:eastAsia="仿宋" w:hAnsi="仿宋" w:cs="仿宋"/>
          <w:b/>
          <w:bCs/>
          <w:i/>
          <w:sz w:val="28"/>
          <w:szCs w:val="28"/>
          <w:u w:val="single"/>
        </w:rPr>
      </w:pPr>
      <w:r w:rsidRPr="00347D84">
        <w:rPr>
          <w:rFonts w:ascii="仿宋" w:eastAsia="仿宋" w:hAnsi="仿宋" w:cs="仿宋" w:hint="eastAsia"/>
          <w:b/>
          <w:bCs/>
          <w:i/>
          <w:sz w:val="28"/>
          <w:szCs w:val="28"/>
          <w:u w:val="single"/>
        </w:rPr>
        <w:t>本人代表本机构已认真阅读以上</w:t>
      </w:r>
      <w:r w:rsidRPr="00347D84">
        <w:rPr>
          <w:rFonts w:ascii="仿宋" w:eastAsia="仿宋" w:hAnsi="仿宋" w:cs="仿宋" w:hint="eastAsia"/>
          <w:b/>
          <w:bCs/>
          <w:i/>
          <w:sz w:val="28"/>
          <w:szCs w:val="28"/>
          <w:u w:val="single"/>
          <w:lang w:eastAsia="zh-Hans"/>
        </w:rPr>
        <w:t>交易须知</w:t>
      </w:r>
      <w:r w:rsidRPr="00347D84">
        <w:rPr>
          <w:rFonts w:ascii="仿宋" w:eastAsia="仿宋" w:hAnsi="仿宋" w:cs="仿宋" w:hint="eastAsia"/>
          <w:b/>
          <w:bCs/>
          <w:i/>
          <w:sz w:val="28"/>
          <w:szCs w:val="28"/>
          <w:u w:val="single"/>
        </w:rPr>
        <w:t xml:space="preserve">并完全理解和同意，自愿承担由此造成的风险，以及由此带来的一切可能的损失。 </w:t>
      </w:r>
    </w:p>
    <w:p w:rsidR="007461D9" w:rsidRPr="00347D84" w:rsidRDefault="00F55E8D" w:rsidP="00DB0BE2">
      <w:pPr>
        <w:spacing w:line="500" w:lineRule="exact"/>
        <w:ind w:firstLineChars="200" w:firstLine="562"/>
        <w:rPr>
          <w:rFonts w:ascii="仿宋" w:eastAsia="仿宋" w:hAnsi="仿宋" w:cs="仿宋"/>
          <w:b/>
          <w:bCs/>
          <w:sz w:val="28"/>
          <w:szCs w:val="28"/>
          <w:lang w:eastAsia="zh-Hans"/>
        </w:rPr>
      </w:pPr>
      <w:r w:rsidRPr="00347D84">
        <w:rPr>
          <w:rFonts w:ascii="仿宋" w:eastAsia="仿宋" w:hAnsi="仿宋" w:cs="仿宋" w:hint="eastAsia"/>
          <w:b/>
          <w:bCs/>
          <w:sz w:val="28"/>
          <w:szCs w:val="28"/>
          <w:lang w:eastAsia="zh-Hans"/>
        </w:rPr>
        <w:t>重要提示：交易商通过交易中心交易系统点击选择本文件并成功提交后，则代表交易商认可本文件的全部内容。</w:t>
      </w:r>
    </w:p>
    <w:p w:rsidR="007461D9" w:rsidRDefault="007461D9">
      <w:pPr>
        <w:spacing w:beforeLines="50" w:before="156" w:afterLines="50" w:after="156" w:line="500" w:lineRule="exact"/>
        <w:ind w:firstLineChars="200" w:firstLine="560"/>
        <w:rPr>
          <w:rFonts w:ascii="仿宋" w:eastAsia="仿宋" w:hAnsi="仿宋" w:cs="仿宋"/>
          <w:sz w:val="28"/>
          <w:szCs w:val="28"/>
        </w:rPr>
      </w:pPr>
    </w:p>
    <w:sectPr w:rsidR="007461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72" w:rsidRDefault="00E33172">
      <w:r>
        <w:separator/>
      </w:r>
    </w:p>
  </w:endnote>
  <w:endnote w:type="continuationSeparator" w:id="0">
    <w:p w:rsidR="00E33172" w:rsidRDefault="00E3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231513"/>
      <w:docPartObj>
        <w:docPartGallery w:val="Page Numbers (Bottom of Page)"/>
        <w:docPartUnique/>
      </w:docPartObj>
    </w:sdtPr>
    <w:sdtEndPr/>
    <w:sdtContent>
      <w:sdt>
        <w:sdtPr>
          <w:id w:val="1728636285"/>
          <w:docPartObj>
            <w:docPartGallery w:val="Page Numbers (Top of Page)"/>
            <w:docPartUnique/>
          </w:docPartObj>
        </w:sdtPr>
        <w:sdtEndPr/>
        <w:sdtContent>
          <w:p w:rsidR="00951DFA" w:rsidRDefault="00951DFA">
            <w:pPr>
              <w:pStyle w:val="a6"/>
              <w:jc w:val="center"/>
            </w:pPr>
            <w:r w:rsidRPr="00951DFA">
              <w:rPr>
                <w:rFonts w:ascii="宋体" w:eastAsia="宋体" w:hAnsi="宋体"/>
                <w:sz w:val="21"/>
                <w:szCs w:val="21"/>
                <w:lang w:val="zh-CN"/>
              </w:rPr>
              <w:t xml:space="preserve"> </w:t>
            </w:r>
            <w:r w:rsidRPr="00951DFA">
              <w:rPr>
                <w:rFonts w:ascii="宋体" w:eastAsia="宋体" w:hAnsi="宋体"/>
                <w:b/>
                <w:bCs/>
                <w:sz w:val="21"/>
                <w:szCs w:val="21"/>
              </w:rPr>
              <w:fldChar w:fldCharType="begin"/>
            </w:r>
            <w:r w:rsidRPr="00951DFA">
              <w:rPr>
                <w:rFonts w:ascii="宋体" w:eastAsia="宋体" w:hAnsi="宋体"/>
                <w:b/>
                <w:bCs/>
                <w:sz w:val="21"/>
                <w:szCs w:val="21"/>
              </w:rPr>
              <w:instrText>PAGE</w:instrText>
            </w:r>
            <w:r w:rsidRPr="00951DFA">
              <w:rPr>
                <w:rFonts w:ascii="宋体" w:eastAsia="宋体" w:hAnsi="宋体"/>
                <w:b/>
                <w:bCs/>
                <w:sz w:val="21"/>
                <w:szCs w:val="21"/>
              </w:rPr>
              <w:fldChar w:fldCharType="separate"/>
            </w:r>
            <w:r w:rsidR="00DB0BE2">
              <w:rPr>
                <w:rFonts w:ascii="宋体" w:eastAsia="宋体" w:hAnsi="宋体"/>
                <w:b/>
                <w:bCs/>
                <w:noProof/>
                <w:sz w:val="21"/>
                <w:szCs w:val="21"/>
              </w:rPr>
              <w:t>3</w:t>
            </w:r>
            <w:r w:rsidRPr="00951DFA">
              <w:rPr>
                <w:rFonts w:ascii="宋体" w:eastAsia="宋体" w:hAnsi="宋体"/>
                <w:b/>
                <w:bCs/>
                <w:sz w:val="21"/>
                <w:szCs w:val="21"/>
              </w:rPr>
              <w:fldChar w:fldCharType="end"/>
            </w:r>
            <w:r w:rsidRPr="00951DFA">
              <w:rPr>
                <w:rFonts w:ascii="宋体" w:eastAsia="宋体" w:hAnsi="宋体"/>
                <w:sz w:val="21"/>
                <w:szCs w:val="21"/>
                <w:lang w:val="zh-CN"/>
              </w:rPr>
              <w:t xml:space="preserve"> / </w:t>
            </w:r>
            <w:r w:rsidRPr="00951DFA">
              <w:rPr>
                <w:rFonts w:ascii="宋体" w:eastAsia="宋体" w:hAnsi="宋体"/>
                <w:b/>
                <w:bCs/>
                <w:sz w:val="21"/>
                <w:szCs w:val="21"/>
              </w:rPr>
              <w:fldChar w:fldCharType="begin"/>
            </w:r>
            <w:r w:rsidRPr="00951DFA">
              <w:rPr>
                <w:rFonts w:ascii="宋体" w:eastAsia="宋体" w:hAnsi="宋体"/>
                <w:b/>
                <w:bCs/>
                <w:sz w:val="21"/>
                <w:szCs w:val="21"/>
              </w:rPr>
              <w:instrText>NUMPAGES</w:instrText>
            </w:r>
            <w:r w:rsidRPr="00951DFA">
              <w:rPr>
                <w:rFonts w:ascii="宋体" w:eastAsia="宋体" w:hAnsi="宋体"/>
                <w:b/>
                <w:bCs/>
                <w:sz w:val="21"/>
                <w:szCs w:val="21"/>
              </w:rPr>
              <w:fldChar w:fldCharType="separate"/>
            </w:r>
            <w:r w:rsidR="00DB0BE2">
              <w:rPr>
                <w:rFonts w:ascii="宋体" w:eastAsia="宋体" w:hAnsi="宋体"/>
                <w:b/>
                <w:bCs/>
                <w:noProof/>
                <w:sz w:val="21"/>
                <w:szCs w:val="21"/>
              </w:rPr>
              <w:t>4</w:t>
            </w:r>
            <w:r w:rsidRPr="00951DFA">
              <w:rPr>
                <w:rFonts w:ascii="宋体" w:eastAsia="宋体" w:hAnsi="宋体"/>
                <w:b/>
                <w:bCs/>
                <w:sz w:val="21"/>
                <w:szCs w:val="21"/>
              </w:rPr>
              <w:fldChar w:fldCharType="end"/>
            </w:r>
          </w:p>
        </w:sdtContent>
      </w:sdt>
    </w:sdtContent>
  </w:sdt>
  <w:p w:rsidR="007461D9" w:rsidRDefault="007461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72" w:rsidRDefault="00E33172">
      <w:r>
        <w:separator/>
      </w:r>
    </w:p>
  </w:footnote>
  <w:footnote w:type="continuationSeparator" w:id="0">
    <w:p w:rsidR="00E33172" w:rsidRDefault="00E33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73B8D"/>
    <w:multiLevelType w:val="hybridMultilevel"/>
    <w:tmpl w:val="63F2ADCE"/>
    <w:lvl w:ilvl="0" w:tplc="6F42BB3C">
      <w:start w:val="1"/>
      <w:numFmt w:val="japaneseCounting"/>
      <w:lvlText w:val="（%1）"/>
      <w:lvlJc w:val="left"/>
      <w:pPr>
        <w:ind w:left="1350" w:hanging="7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534063A"/>
    <w:multiLevelType w:val="hybridMultilevel"/>
    <w:tmpl w:val="2F5A0D6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MDA4NDk5ZTU5MWY3MWFiNmIyM2FlYWM1Mjc3Y2YifQ=="/>
  </w:docVars>
  <w:rsids>
    <w:rsidRoot w:val="005A50A7"/>
    <w:rsid w:val="CDDFF9E3"/>
    <w:rsid w:val="E6DDC6C9"/>
    <w:rsid w:val="F3FD0AEA"/>
    <w:rsid w:val="001F1E84"/>
    <w:rsid w:val="00223542"/>
    <w:rsid w:val="00347D84"/>
    <w:rsid w:val="00362BCD"/>
    <w:rsid w:val="004E3F99"/>
    <w:rsid w:val="00550898"/>
    <w:rsid w:val="005A50A7"/>
    <w:rsid w:val="00721B8A"/>
    <w:rsid w:val="007461D9"/>
    <w:rsid w:val="008E0880"/>
    <w:rsid w:val="009375B2"/>
    <w:rsid w:val="00951DFA"/>
    <w:rsid w:val="00A008C7"/>
    <w:rsid w:val="00A107EA"/>
    <w:rsid w:val="00CD4DED"/>
    <w:rsid w:val="00CE6414"/>
    <w:rsid w:val="00DB0BE2"/>
    <w:rsid w:val="00DE7A7F"/>
    <w:rsid w:val="00E33172"/>
    <w:rsid w:val="00F05787"/>
    <w:rsid w:val="00F55E8D"/>
    <w:rsid w:val="54CB23B7"/>
    <w:rsid w:val="577E1DEA"/>
    <w:rsid w:val="7D770DE9"/>
    <w:rsid w:val="7FBEA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CE34"/>
  <w15:docId w15:val="{3B34DBFE-D838-4F75-A476-373C3EB1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批注框文本 字符"/>
    <w:basedOn w:val="a0"/>
    <w:link w:val="a4"/>
    <w:uiPriority w:val="99"/>
    <w:semiHidden/>
    <w:qFormat/>
    <w:rPr>
      <w:kern w:val="2"/>
      <w:sz w:val="18"/>
      <w:szCs w:val="18"/>
    </w:rPr>
  </w:style>
  <w:style w:type="character" w:customStyle="1" w:styleId="a7">
    <w:name w:val="页脚 字符"/>
    <w:basedOn w:val="a0"/>
    <w:link w:val="a6"/>
    <w:uiPriority w:val="99"/>
    <w:rsid w:val="00951DFA"/>
    <w:rPr>
      <w:kern w:val="2"/>
      <w:sz w:val="18"/>
      <w:szCs w:val="24"/>
    </w:rPr>
  </w:style>
  <w:style w:type="paragraph" w:styleId="a9">
    <w:name w:val="List Paragraph"/>
    <w:basedOn w:val="a"/>
    <w:uiPriority w:val="99"/>
    <w:rsid w:val="00DB0B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卢凯龙</dc:creator>
  <cp:lastModifiedBy>ENN-杨向成</cp:lastModifiedBy>
  <cp:revision>2</cp:revision>
  <dcterms:created xsi:type="dcterms:W3CDTF">2023-12-14T08:19:00Z</dcterms:created>
  <dcterms:modified xsi:type="dcterms:W3CDTF">2023-12-14T08:19:00Z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95BF0B48BB2D4B8D910CC34E37AF71BE_13</vt:lpwstr>
  </property>
</Properties>
</file>