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EB3" w:rsidRPr="008D0798" w:rsidRDefault="0045322C">
      <w:pPr>
        <w:jc w:val="center"/>
        <w:rPr>
          <w:rFonts w:ascii="黑体" w:eastAsia="黑体" w:hAnsi="黑体" w:cs="方正小标宋简体"/>
          <w:b/>
          <w:sz w:val="32"/>
          <w:szCs w:val="32"/>
        </w:rPr>
      </w:pPr>
      <w:r w:rsidRPr="008D0798">
        <w:rPr>
          <w:rFonts w:ascii="黑体" w:eastAsia="黑体" w:hAnsi="黑体" w:cs="方正小标宋简体"/>
          <w:b/>
          <w:sz w:val="32"/>
          <w:szCs w:val="32"/>
        </w:rPr>
        <w:t>天津国际油气交易中心</w:t>
      </w:r>
    </w:p>
    <w:p w:rsidR="00590EB3" w:rsidRPr="008D0798" w:rsidRDefault="0045322C">
      <w:pPr>
        <w:jc w:val="center"/>
        <w:rPr>
          <w:rFonts w:ascii="黑体" w:eastAsia="黑体" w:hAnsi="黑体" w:cs="方正小标宋简体"/>
          <w:b/>
          <w:sz w:val="32"/>
          <w:szCs w:val="32"/>
        </w:rPr>
      </w:pPr>
      <w:r w:rsidRPr="008D0798">
        <w:rPr>
          <w:rFonts w:ascii="黑体" w:eastAsia="黑体" w:hAnsi="黑体" w:cs="方正小标宋简体" w:hint="eastAsia"/>
          <w:b/>
          <w:sz w:val="32"/>
          <w:szCs w:val="32"/>
        </w:rPr>
        <w:t>现货交易风险</w:t>
      </w:r>
      <w:r w:rsidRPr="008D0798">
        <w:rPr>
          <w:rFonts w:ascii="黑体" w:eastAsia="黑体" w:hAnsi="黑体" w:cs="方正小标宋简体"/>
          <w:b/>
          <w:sz w:val="32"/>
          <w:szCs w:val="32"/>
        </w:rPr>
        <w:t>提示</w:t>
      </w:r>
      <w:r w:rsidRPr="008D0798">
        <w:rPr>
          <w:rFonts w:ascii="黑体" w:eastAsia="黑体" w:hAnsi="黑体" w:cs="方正小标宋简体" w:hint="eastAsia"/>
          <w:b/>
          <w:sz w:val="32"/>
          <w:szCs w:val="32"/>
        </w:rPr>
        <w:t>书</w:t>
      </w:r>
    </w:p>
    <w:p w:rsidR="00590EB3" w:rsidRPr="008D0798" w:rsidRDefault="0045322C">
      <w:pPr>
        <w:spacing w:line="500" w:lineRule="exact"/>
        <w:ind w:firstLineChars="200" w:firstLine="562"/>
        <w:rPr>
          <w:rFonts w:ascii="仿宋" w:eastAsia="仿宋" w:hAnsi="仿宋" w:cs="仿宋"/>
          <w:b/>
          <w:bCs/>
          <w:sz w:val="28"/>
          <w:szCs w:val="28"/>
        </w:rPr>
      </w:pPr>
      <w:r w:rsidRPr="008D0798">
        <w:rPr>
          <w:rFonts w:ascii="仿宋" w:eastAsia="仿宋" w:hAnsi="仿宋" w:cs="仿宋" w:hint="eastAsia"/>
          <w:b/>
          <w:bCs/>
          <w:sz w:val="28"/>
          <w:szCs w:val="28"/>
        </w:rPr>
        <w:t>尊敬的交易商：</w:t>
      </w:r>
    </w:p>
    <w:p w:rsidR="00590EB3" w:rsidRPr="008D0798" w:rsidRDefault="0045322C">
      <w:pPr>
        <w:spacing w:line="500" w:lineRule="exact"/>
        <w:ind w:firstLineChars="200" w:firstLine="560"/>
        <w:rPr>
          <w:rFonts w:ascii="仿宋" w:eastAsia="仿宋" w:hAnsi="仿宋" w:cs="仿宋"/>
          <w:sz w:val="28"/>
          <w:szCs w:val="28"/>
        </w:rPr>
      </w:pPr>
      <w:r w:rsidRPr="008D0798">
        <w:rPr>
          <w:rFonts w:ascii="仿宋" w:eastAsia="仿宋" w:hAnsi="仿宋" w:cs="仿宋" w:hint="eastAsia"/>
          <w:sz w:val="28"/>
          <w:szCs w:val="28"/>
        </w:rPr>
        <w:t>在天津国际油气交易中心有限公司（以下简称“天津交易中心”）开展的现货交易活动具有风险。请您务必仔细阅读确认《天津国际油气交易中心现货交易风险提示书》的所有内容，对在天津交易中心开展现货交易的风险建立充分的认知与了解，并自愿承担现货交易带来的风险。您需要</w:t>
      </w:r>
      <w:r w:rsidRPr="008D0798">
        <w:rPr>
          <w:rFonts w:ascii="仿宋" w:eastAsia="仿宋" w:hAnsi="仿宋" w:cs="仿宋" w:hint="eastAsia"/>
          <w:sz w:val="28"/>
          <w:szCs w:val="28"/>
          <w:lang w:eastAsia="zh-Hans"/>
        </w:rPr>
        <w:t>在线点击</w:t>
      </w:r>
      <w:r w:rsidRPr="008D0798">
        <w:rPr>
          <w:rFonts w:ascii="仿宋" w:eastAsia="仿宋" w:hAnsi="仿宋" w:cs="仿宋" w:hint="eastAsia"/>
          <w:sz w:val="28"/>
          <w:szCs w:val="28"/>
        </w:rPr>
        <w:t>确认《天津国际油气交易中心现货交易风险提示书》后，方可在天津交易中心办理开户手续和进行交易。</w:t>
      </w:r>
    </w:p>
    <w:p w:rsidR="00590EB3" w:rsidRPr="008D0798" w:rsidRDefault="0045322C">
      <w:pPr>
        <w:spacing w:line="500" w:lineRule="exact"/>
        <w:ind w:firstLineChars="200" w:firstLine="560"/>
        <w:rPr>
          <w:rFonts w:ascii="仿宋" w:eastAsia="仿宋" w:hAnsi="仿宋" w:cs="仿宋"/>
          <w:sz w:val="28"/>
          <w:szCs w:val="28"/>
        </w:rPr>
      </w:pPr>
      <w:r w:rsidRPr="008D0798">
        <w:rPr>
          <w:rFonts w:ascii="仿宋" w:eastAsia="仿宋" w:hAnsi="仿宋" w:cs="仿宋" w:hint="eastAsia"/>
          <w:sz w:val="28"/>
          <w:szCs w:val="28"/>
        </w:rPr>
        <w:t>天津交易中心组织的现货交易对交易商的交易经验、风险承受能力、理解风险的程度以及风险控制能力有较高的要求。交易商应当充分理解并遵循“</w:t>
      </w:r>
      <w:r w:rsidRPr="008D0798">
        <w:rPr>
          <w:rFonts w:ascii="仿宋" w:eastAsia="仿宋" w:hAnsi="仿宋" w:cs="仿宋" w:hint="eastAsia"/>
          <w:sz w:val="28"/>
          <w:szCs w:val="28"/>
          <w:lang w:eastAsia="zh-Hans"/>
        </w:rPr>
        <w:t>自愿参与、风险</w:t>
      </w:r>
      <w:r w:rsidRPr="008D0798">
        <w:rPr>
          <w:rFonts w:ascii="仿宋" w:eastAsia="仿宋" w:hAnsi="仿宋" w:cs="仿宋" w:hint="eastAsia"/>
          <w:sz w:val="28"/>
          <w:szCs w:val="28"/>
        </w:rPr>
        <w:t>自负”的市场原则，理解天津交易中心</w:t>
      </w:r>
      <w:r w:rsidRPr="008D0798">
        <w:rPr>
          <w:rFonts w:ascii="仿宋" w:eastAsia="仿宋" w:hAnsi="仿宋" w:cs="仿宋"/>
          <w:sz w:val="28"/>
          <w:szCs w:val="28"/>
        </w:rPr>
        <w:t>平台发布的</w:t>
      </w:r>
      <w:r w:rsidRPr="008D0798">
        <w:rPr>
          <w:rFonts w:ascii="仿宋" w:eastAsia="仿宋" w:hAnsi="仿宋" w:cs="仿宋" w:hint="eastAsia"/>
          <w:sz w:val="28"/>
          <w:szCs w:val="28"/>
        </w:rPr>
        <w:t>相关管理办法、规则、细则、公告及其相应的修订、变更条款（以下简称“业务规则”，交易商可在天津交易中心官方网站查询业务规则的最新版本），充分认识现货交易风险，并做好风险控制，自行承担交易结果。</w:t>
      </w:r>
      <w:r w:rsidRPr="008D0798">
        <w:rPr>
          <w:rFonts w:ascii="仿宋" w:eastAsia="仿宋" w:hAnsi="仿宋" w:cs="仿宋" w:hint="eastAsia"/>
          <w:sz w:val="28"/>
          <w:szCs w:val="28"/>
        </w:rPr>
        <w:br/>
        <w:t xml:space="preserve"> </w:t>
      </w:r>
      <w:r w:rsidRPr="008D0798">
        <w:rPr>
          <w:rFonts w:ascii="仿宋" w:eastAsia="仿宋" w:hAnsi="仿宋" w:cs="仿宋"/>
          <w:sz w:val="28"/>
          <w:szCs w:val="28"/>
        </w:rPr>
        <w:t xml:space="preserve">    </w:t>
      </w:r>
      <w:r w:rsidRPr="008D0798">
        <w:rPr>
          <w:rFonts w:ascii="仿宋" w:eastAsia="仿宋" w:hAnsi="仿宋" w:cs="仿宋" w:hint="eastAsia"/>
          <w:sz w:val="28"/>
          <w:szCs w:val="28"/>
        </w:rPr>
        <w:t>一、风险说明</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（一）交易风险</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sz w:val="28"/>
          <w:szCs w:val="28"/>
        </w:rPr>
      </w:pPr>
      <w:r w:rsidRPr="008D0798">
        <w:rPr>
          <w:rFonts w:ascii="仿宋" w:eastAsia="仿宋" w:hAnsi="仿宋" w:cs="仿宋" w:hint="eastAsia"/>
          <w:kern w:val="2"/>
          <w:sz w:val="28"/>
          <w:szCs w:val="28"/>
        </w:rPr>
        <w:t>1.交易商必须认真阅读、理解并遵守天津交易中心在天津交易中心官网发布的</w:t>
      </w:r>
      <w:r w:rsidRPr="008D0798">
        <w:rPr>
          <w:rFonts w:ascii="仿宋" w:eastAsia="仿宋" w:hAnsi="仿宋" w:cs="仿宋" w:hint="eastAsia"/>
          <w:sz w:val="28"/>
          <w:szCs w:val="28"/>
        </w:rPr>
        <w:t>《天津国际油气交易中心现货交易管理总则（试行）》、《天津国际油气交易中心交易商管理办法（试行）》、《天津国际油气交易中心产能预售-行纪版块交易交收管理办法（试行）》、《天津国际油气交易中心现货订单交易交收管理办法（试行）》、《天津国际油气交易中心订单通</w:t>
      </w:r>
      <w:r w:rsidR="00E06EA9">
        <w:rPr>
          <w:rFonts w:ascii="仿宋" w:eastAsia="仿宋" w:hAnsi="仿宋" w:cs="仿宋" w:hint="eastAsia"/>
          <w:sz w:val="28"/>
          <w:szCs w:val="28"/>
        </w:rPr>
        <w:t>交易交收</w:t>
      </w:r>
      <w:r w:rsidRPr="008D0798">
        <w:rPr>
          <w:rFonts w:ascii="仿宋" w:eastAsia="仿宋" w:hAnsi="仿宋" w:cs="仿宋" w:hint="eastAsia"/>
          <w:sz w:val="28"/>
          <w:szCs w:val="28"/>
        </w:rPr>
        <w:t>管理办法（试行）》、《天津国际油气交易中心电子交收凭证管理</w:t>
      </w:r>
      <w:bookmarkStart w:id="0" w:name="_GoBack"/>
      <w:bookmarkEnd w:id="0"/>
      <w:r w:rsidRPr="008D0798">
        <w:rPr>
          <w:rFonts w:ascii="仿宋" w:eastAsia="仿宋" w:hAnsi="仿宋" w:cs="仿宋" w:hint="eastAsia"/>
          <w:sz w:val="28"/>
          <w:szCs w:val="28"/>
        </w:rPr>
        <w:t>办法（试行）》、《天津国际油气交易中心违规违约管理办法（试行）》、《天津国际油气交易中心资金与结算管理办法（试行）》等相关管理办法和《天津国际油气交易中心</w:t>
      </w:r>
      <w:r w:rsidRPr="008D0798">
        <w:rPr>
          <w:rFonts w:ascii="仿宋" w:eastAsia="仿宋" w:hAnsi="仿宋" w:cs="仿宋" w:hint="eastAsia"/>
          <w:sz w:val="28"/>
          <w:szCs w:val="28"/>
        </w:rPr>
        <w:lastRenderedPageBreak/>
        <w:t>交易商用户注册协议》，交易商如出现违反天津交易中心相关业务规则或违约情形，天津交易中心有权根据业务规则，对交易商实行限期改正和补救、警告、</w:t>
      </w:r>
      <w:r w:rsidRPr="008D0798">
        <w:rPr>
          <w:rFonts w:ascii="仿宋" w:eastAsia="仿宋" w:hAnsi="仿宋" w:cs="仿宋" w:hint="eastAsia"/>
          <w:kern w:val="2"/>
          <w:sz w:val="28"/>
          <w:szCs w:val="28"/>
        </w:rPr>
        <w:t>通报批评、公开谴责、提高履约定金支付标准、限制出金、限期转让、代为转让部分或全部行纪确认单/订单、强制退出等处罚措施，交易商必须承担由此产生的后果和损失。给天津交易中心造成损失的，天津交易中心有权采取一切合法追偿手段，直至交易商清偿所有债务。</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kern w:val="2"/>
          <w:sz w:val="28"/>
          <w:szCs w:val="28"/>
        </w:rPr>
        <w:t>2.</w:t>
      </w:r>
      <w:r w:rsidRPr="008D0798">
        <w:rPr>
          <w:rFonts w:ascii="仿宋" w:eastAsia="仿宋" w:hAnsi="仿宋" w:cs="仿宋" w:hint="eastAsia"/>
          <w:kern w:val="2"/>
          <w:sz w:val="28"/>
          <w:szCs w:val="28"/>
        </w:rPr>
        <w:t>交易商需根据天津交易中心的相关业务规则及时补足相应账户内的交易准备金，以便能继续持有相关现货商品订单/行纪确认单/购销合同。如交易</w:t>
      </w:r>
      <w:proofErr w:type="gramStart"/>
      <w:r w:rsidRPr="008D0798">
        <w:rPr>
          <w:rFonts w:ascii="仿宋" w:eastAsia="仿宋" w:hAnsi="仿宋" w:cs="仿宋" w:hint="eastAsia"/>
          <w:kern w:val="2"/>
          <w:sz w:val="28"/>
          <w:szCs w:val="28"/>
        </w:rPr>
        <w:t>商未能</w:t>
      </w:r>
      <w:proofErr w:type="gramEnd"/>
      <w:r w:rsidRPr="008D0798">
        <w:rPr>
          <w:rFonts w:ascii="仿宋" w:eastAsia="仿宋" w:hAnsi="仿宋" w:cs="仿宋" w:hint="eastAsia"/>
          <w:kern w:val="2"/>
          <w:sz w:val="28"/>
          <w:szCs w:val="28"/>
        </w:rPr>
        <w:t>于规定时间内补足，交易商即构成违规，需根据业务规则的相关规定承担违规违约责任。给天津交易中心造成损失的，天津交易中心有权采取一切合法追偿手段，直至交易商清偿所有债务。</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kern w:val="2"/>
          <w:sz w:val="28"/>
          <w:szCs w:val="28"/>
        </w:rPr>
        <w:t>3.</w:t>
      </w:r>
      <w:r w:rsidRPr="008D0798">
        <w:rPr>
          <w:rFonts w:ascii="仿宋" w:eastAsia="仿宋" w:hAnsi="仿宋" w:cs="仿宋" w:hint="eastAsia"/>
          <w:kern w:val="2"/>
          <w:sz w:val="28"/>
          <w:szCs w:val="28"/>
        </w:rPr>
        <w:t>交易商为参与市场交易提供履约担保的，如履约担保物估值下跌，交易商须根</w:t>
      </w:r>
      <w:proofErr w:type="gramStart"/>
      <w:r w:rsidRPr="008D0798">
        <w:rPr>
          <w:rFonts w:ascii="仿宋" w:eastAsia="仿宋" w:hAnsi="仿宋" w:cs="仿宋" w:hint="eastAsia"/>
          <w:kern w:val="2"/>
          <w:sz w:val="28"/>
          <w:szCs w:val="28"/>
        </w:rPr>
        <w:t>据业务</w:t>
      </w:r>
      <w:proofErr w:type="gramEnd"/>
      <w:r w:rsidRPr="008D0798">
        <w:rPr>
          <w:rFonts w:ascii="仿宋" w:eastAsia="仿宋" w:hAnsi="仿宋" w:cs="仿宋" w:hint="eastAsia"/>
          <w:kern w:val="2"/>
          <w:sz w:val="28"/>
          <w:szCs w:val="28"/>
        </w:rPr>
        <w:t>规则和相关协议补充履约担保或采取天津交易中心同意的其他方式补充担保。如交易商违反相关业务规则和协议，可能面临其履约担保被处置的风险；因处置价格、数量、时间等的不确定性而造成的交易风险和损失由交易商自行承担。</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kern w:val="2"/>
          <w:sz w:val="28"/>
          <w:szCs w:val="28"/>
        </w:rPr>
        <w:t>4.</w:t>
      </w:r>
      <w:r w:rsidRPr="008D0798">
        <w:rPr>
          <w:rFonts w:ascii="仿宋" w:eastAsia="仿宋" w:hAnsi="仿宋" w:cs="仿宋" w:hint="eastAsia"/>
          <w:b/>
          <w:bCs/>
          <w:kern w:val="2"/>
          <w:sz w:val="28"/>
          <w:szCs w:val="28"/>
        </w:rPr>
        <w:t>根据市场风险情况和相关业务规则，天津交易中心有权为化解市场风险采取相关风险管理措施，交易商须认可并接受天津交易中心实行的风险管理措施以及由此可能给交易</w:t>
      </w:r>
      <w:proofErr w:type="gramStart"/>
      <w:r w:rsidRPr="008D0798">
        <w:rPr>
          <w:rFonts w:ascii="仿宋" w:eastAsia="仿宋" w:hAnsi="仿宋" w:cs="仿宋" w:hint="eastAsia"/>
          <w:b/>
          <w:bCs/>
          <w:kern w:val="2"/>
          <w:sz w:val="28"/>
          <w:szCs w:val="28"/>
        </w:rPr>
        <w:t>商造成</w:t>
      </w:r>
      <w:proofErr w:type="gramEnd"/>
      <w:r w:rsidRPr="008D0798">
        <w:rPr>
          <w:rFonts w:ascii="仿宋" w:eastAsia="仿宋" w:hAnsi="仿宋" w:cs="仿宋" w:hint="eastAsia"/>
          <w:b/>
          <w:bCs/>
          <w:kern w:val="2"/>
          <w:sz w:val="28"/>
          <w:szCs w:val="28"/>
        </w:rPr>
        <w:t>的损失</w:t>
      </w:r>
      <w:r w:rsidRPr="008D0798">
        <w:rPr>
          <w:rFonts w:ascii="仿宋" w:eastAsia="仿宋" w:hAnsi="仿宋" w:cs="仿宋" w:hint="eastAsia"/>
          <w:kern w:val="2"/>
          <w:sz w:val="28"/>
          <w:szCs w:val="28"/>
        </w:rPr>
        <w:t>。</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kern w:val="2"/>
          <w:sz w:val="28"/>
          <w:szCs w:val="28"/>
        </w:rPr>
        <w:t>5.</w:t>
      </w:r>
      <w:r w:rsidRPr="008D0798">
        <w:rPr>
          <w:rFonts w:ascii="仿宋" w:eastAsia="仿宋" w:hAnsi="仿宋" w:cs="仿宋" w:hint="eastAsia"/>
          <w:kern w:val="2"/>
          <w:sz w:val="28"/>
          <w:szCs w:val="28"/>
        </w:rPr>
        <w:t>交易商在天津交易中心的相关系统内，通过网上终端(包括但不限于电脑、手机等)所下达的指令一经成交，即不可撤销，交易商必须接受该等交易方式可能带来的风险。</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kern w:val="2"/>
          <w:sz w:val="28"/>
          <w:szCs w:val="28"/>
        </w:rPr>
        <w:t>6.</w:t>
      </w:r>
      <w:r w:rsidRPr="008D0798">
        <w:rPr>
          <w:rFonts w:ascii="仿宋" w:eastAsia="仿宋" w:hAnsi="仿宋" w:cs="仿宋" w:hint="eastAsia"/>
          <w:kern w:val="2"/>
          <w:sz w:val="28"/>
          <w:szCs w:val="28"/>
        </w:rPr>
        <w:t>交易商的现货交易指令必须是建立在自己的自主决定之上。天津交易中心、交易商、第三方机构或其他市场主体及其工作人员提供的任何关于市场、行情的分析和信息，仅供交易商参考，不构成任何</w:t>
      </w:r>
      <w:r w:rsidRPr="008D0798">
        <w:rPr>
          <w:rFonts w:ascii="仿宋" w:eastAsia="仿宋" w:hAnsi="仿宋" w:cs="仿宋" w:hint="eastAsia"/>
          <w:kern w:val="2"/>
          <w:sz w:val="28"/>
          <w:szCs w:val="28"/>
        </w:rPr>
        <w:lastRenderedPageBreak/>
        <w:t>要约、承诺或保证。由此而造成的交易风险由交易商自行承担。</w:t>
      </w:r>
    </w:p>
    <w:p w:rsidR="00590EB3" w:rsidRPr="008D0798" w:rsidRDefault="0045322C">
      <w:pPr>
        <w:pStyle w:val="cjk"/>
        <w:widowControl w:val="0"/>
        <w:shd w:val="clear" w:color="auto" w:fill="FFFFFF"/>
        <w:spacing w:before="0" w:beforeAutospacing="0" w:after="0" w:afterAutospacing="0" w:line="500" w:lineRule="exact"/>
        <w:ind w:firstLineChars="200" w:firstLine="562"/>
        <w:jc w:val="both"/>
        <w:rPr>
          <w:rFonts w:ascii="仿宋" w:eastAsia="仿宋" w:hAnsi="仿宋" w:cs="仿宋"/>
          <w:b/>
          <w:kern w:val="2"/>
          <w:sz w:val="28"/>
          <w:szCs w:val="28"/>
        </w:rPr>
      </w:pPr>
      <w:r w:rsidRPr="008D0798">
        <w:rPr>
          <w:rFonts w:ascii="仿宋" w:eastAsia="仿宋" w:hAnsi="仿宋" w:cs="仿宋"/>
          <w:b/>
          <w:kern w:val="2"/>
          <w:sz w:val="28"/>
          <w:szCs w:val="28"/>
        </w:rPr>
        <w:t>7.</w:t>
      </w:r>
      <w:r w:rsidRPr="008D0798">
        <w:rPr>
          <w:rFonts w:ascii="仿宋" w:eastAsia="仿宋" w:hAnsi="仿宋" w:cs="仿宋" w:hint="eastAsia"/>
          <w:b/>
          <w:kern w:val="2"/>
          <w:sz w:val="28"/>
          <w:szCs w:val="28"/>
        </w:rPr>
        <w:t>由于交易</w:t>
      </w:r>
      <w:r w:rsidRPr="008D0798">
        <w:rPr>
          <w:rFonts w:ascii="仿宋" w:eastAsia="仿宋" w:hAnsi="仿宋" w:cs="仿宋"/>
          <w:b/>
          <w:kern w:val="2"/>
          <w:sz w:val="28"/>
          <w:szCs w:val="28"/>
        </w:rPr>
        <w:t>对手</w:t>
      </w:r>
      <w:r w:rsidRPr="008D0798">
        <w:rPr>
          <w:rFonts w:ascii="仿宋" w:eastAsia="仿宋" w:hAnsi="仿宋" w:cs="仿宋" w:hint="eastAsia"/>
          <w:b/>
          <w:kern w:val="2"/>
          <w:sz w:val="28"/>
          <w:szCs w:val="28"/>
        </w:rPr>
        <w:t>方/第三</w:t>
      </w:r>
      <w:proofErr w:type="gramStart"/>
      <w:r w:rsidRPr="008D0798">
        <w:rPr>
          <w:rFonts w:ascii="仿宋" w:eastAsia="仿宋" w:hAnsi="仿宋" w:cs="仿宋" w:hint="eastAsia"/>
          <w:b/>
          <w:kern w:val="2"/>
          <w:sz w:val="28"/>
          <w:szCs w:val="28"/>
        </w:rPr>
        <w:t>方服务</w:t>
      </w:r>
      <w:proofErr w:type="gramEnd"/>
      <w:r w:rsidRPr="008D0798">
        <w:rPr>
          <w:rFonts w:ascii="仿宋" w:eastAsia="仿宋" w:hAnsi="仿宋" w:cs="仿宋" w:hint="eastAsia"/>
          <w:b/>
          <w:kern w:val="2"/>
          <w:sz w:val="28"/>
          <w:szCs w:val="28"/>
        </w:rPr>
        <w:t>机构违反或</w:t>
      </w:r>
      <w:proofErr w:type="gramStart"/>
      <w:r w:rsidRPr="008D0798">
        <w:rPr>
          <w:rFonts w:ascii="仿宋" w:eastAsia="仿宋" w:hAnsi="仿宋" w:cs="仿宋" w:hint="eastAsia"/>
          <w:b/>
          <w:kern w:val="2"/>
          <w:sz w:val="28"/>
          <w:szCs w:val="28"/>
        </w:rPr>
        <w:t>怠</w:t>
      </w:r>
      <w:proofErr w:type="gramEnd"/>
      <w:r w:rsidRPr="008D0798">
        <w:rPr>
          <w:rFonts w:ascii="仿宋" w:eastAsia="仿宋" w:hAnsi="仿宋" w:cs="仿宋" w:hint="eastAsia"/>
          <w:b/>
          <w:kern w:val="2"/>
          <w:sz w:val="28"/>
          <w:szCs w:val="28"/>
        </w:rPr>
        <w:t>于履行其与交易商之间的现货订单/合同项下的义务、责任，可能会影响交易交收的完成，进而可能导致交易商遭受的损失由交易商自行承担。</w:t>
      </w:r>
    </w:p>
    <w:p w:rsidR="00590EB3" w:rsidRPr="008D0798" w:rsidRDefault="0045322C">
      <w:pPr>
        <w:pStyle w:val="cjk"/>
        <w:widowControl w:val="0"/>
        <w:shd w:val="clear" w:color="auto" w:fill="FFFFFF"/>
        <w:spacing w:before="0" w:beforeAutospacing="0" w:after="0" w:afterAutospacing="0" w:line="500" w:lineRule="exact"/>
        <w:ind w:firstLineChars="200" w:firstLine="562"/>
        <w:jc w:val="both"/>
        <w:rPr>
          <w:rFonts w:ascii="仿宋" w:eastAsia="仿宋" w:hAnsi="仿宋" w:cs="仿宋"/>
          <w:b/>
          <w:kern w:val="2"/>
          <w:sz w:val="28"/>
          <w:szCs w:val="28"/>
        </w:rPr>
      </w:pPr>
      <w:r w:rsidRPr="008D0798">
        <w:rPr>
          <w:rFonts w:ascii="仿宋" w:eastAsia="仿宋" w:hAnsi="仿宋" w:cs="仿宋"/>
          <w:b/>
          <w:kern w:val="2"/>
          <w:sz w:val="28"/>
          <w:szCs w:val="28"/>
        </w:rPr>
        <w:t>8.</w:t>
      </w:r>
      <w:r w:rsidRPr="008D0798">
        <w:rPr>
          <w:rFonts w:ascii="仿宋" w:eastAsia="仿宋" w:hAnsi="仿宋" w:cs="仿宋" w:hint="eastAsia"/>
          <w:b/>
          <w:kern w:val="2"/>
          <w:sz w:val="28"/>
          <w:szCs w:val="28"/>
        </w:rPr>
        <w:t>交易</w:t>
      </w:r>
      <w:r w:rsidRPr="008D0798">
        <w:rPr>
          <w:rFonts w:ascii="仿宋" w:eastAsia="仿宋" w:hAnsi="仿宋" w:cs="仿宋"/>
          <w:b/>
          <w:kern w:val="2"/>
          <w:sz w:val="28"/>
          <w:szCs w:val="28"/>
        </w:rPr>
        <w:t>对手</w:t>
      </w:r>
      <w:r w:rsidRPr="008D0798">
        <w:rPr>
          <w:rFonts w:ascii="仿宋" w:eastAsia="仿宋" w:hAnsi="仿宋" w:cs="仿宋" w:hint="eastAsia"/>
          <w:b/>
          <w:kern w:val="2"/>
          <w:sz w:val="28"/>
          <w:szCs w:val="28"/>
        </w:rPr>
        <w:t>方由于决策失误、经营不善、出现重大负债、资产或账户被有权机关采取查封、扣押、或冻结等强制措施、诉讼、财务状况恶化或破产清算等多种原因导致其不履行或不能完全履行其义务和承诺，从而给交易</w:t>
      </w:r>
      <w:proofErr w:type="gramStart"/>
      <w:r w:rsidRPr="008D0798">
        <w:rPr>
          <w:rFonts w:ascii="仿宋" w:eastAsia="仿宋" w:hAnsi="仿宋" w:cs="仿宋" w:hint="eastAsia"/>
          <w:b/>
          <w:kern w:val="2"/>
          <w:sz w:val="28"/>
          <w:szCs w:val="28"/>
        </w:rPr>
        <w:t>商造成</w:t>
      </w:r>
      <w:proofErr w:type="gramEnd"/>
      <w:r w:rsidRPr="008D0798">
        <w:rPr>
          <w:rFonts w:ascii="仿宋" w:eastAsia="仿宋" w:hAnsi="仿宋" w:cs="仿宋" w:hint="eastAsia"/>
          <w:b/>
          <w:kern w:val="2"/>
          <w:sz w:val="28"/>
          <w:szCs w:val="28"/>
        </w:rPr>
        <w:t>损失由交易商自行承担。</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kern w:val="2"/>
          <w:sz w:val="28"/>
          <w:szCs w:val="28"/>
        </w:rPr>
        <w:t>9.</w:t>
      </w:r>
      <w:r w:rsidRPr="008D0798">
        <w:rPr>
          <w:rFonts w:ascii="仿宋" w:eastAsia="仿宋" w:hAnsi="仿宋" w:cs="仿宋" w:hint="eastAsia"/>
          <w:kern w:val="2"/>
          <w:sz w:val="28"/>
          <w:szCs w:val="28"/>
        </w:rPr>
        <w:t>交易商应当确保账户和密码信息不被泄漏，并应妥善管理和控制其内部授权使用账户和密码的相关人员及其权限，凡使用交易商的账户与密码进行的所有操作均视为交易商自身的操作，对其有效并具有约束力，交易商</w:t>
      </w:r>
      <w:proofErr w:type="gramStart"/>
      <w:r w:rsidRPr="008D0798">
        <w:rPr>
          <w:rFonts w:ascii="仿宋" w:eastAsia="仿宋" w:hAnsi="仿宋" w:cs="仿宋" w:hint="eastAsia"/>
          <w:kern w:val="2"/>
          <w:sz w:val="28"/>
          <w:szCs w:val="28"/>
        </w:rPr>
        <w:t>应承担和履行</w:t>
      </w:r>
      <w:proofErr w:type="gramEnd"/>
      <w:r w:rsidRPr="008D0798">
        <w:rPr>
          <w:rFonts w:ascii="仿宋" w:eastAsia="仿宋" w:hAnsi="仿宋" w:cs="仿宋" w:hint="eastAsia"/>
          <w:kern w:val="2"/>
          <w:sz w:val="28"/>
          <w:szCs w:val="28"/>
        </w:rPr>
        <w:t>相应的责任和义务。由于交易商对于账户和密码信息保管不善而造成的全部损失，由交易商自行承担。</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kern w:val="2"/>
          <w:sz w:val="28"/>
          <w:szCs w:val="28"/>
        </w:rPr>
        <w:t>10.</w:t>
      </w:r>
      <w:r w:rsidRPr="008D0798">
        <w:rPr>
          <w:rFonts w:ascii="仿宋" w:eastAsia="仿宋" w:hAnsi="仿宋" w:cs="仿宋" w:hint="eastAsia"/>
          <w:kern w:val="2"/>
          <w:sz w:val="28"/>
          <w:szCs w:val="28"/>
        </w:rPr>
        <w:t>在交易过程中，有可能出现偶然性的明显的错误报价，天津交易中心可能在事后会对错价</w:t>
      </w:r>
      <w:proofErr w:type="gramStart"/>
      <w:r w:rsidRPr="008D0798">
        <w:rPr>
          <w:rFonts w:ascii="仿宋" w:eastAsia="仿宋" w:hAnsi="仿宋" w:cs="仿宋" w:hint="eastAsia"/>
          <w:kern w:val="2"/>
          <w:sz w:val="28"/>
          <w:szCs w:val="28"/>
        </w:rPr>
        <w:t>作出</w:t>
      </w:r>
      <w:proofErr w:type="gramEnd"/>
      <w:r w:rsidRPr="008D0798">
        <w:rPr>
          <w:rFonts w:ascii="仿宋" w:eastAsia="仿宋" w:hAnsi="仿宋" w:cs="仿宋" w:hint="eastAsia"/>
          <w:kern w:val="2"/>
          <w:sz w:val="28"/>
          <w:szCs w:val="28"/>
        </w:rPr>
        <w:t>纠正，由此而造成的交易风险由交易商自行承担。</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hint="eastAsia"/>
          <w:kern w:val="2"/>
          <w:sz w:val="28"/>
          <w:szCs w:val="28"/>
        </w:rPr>
        <w:t>（二）政策风险</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hint="eastAsia"/>
          <w:kern w:val="2"/>
          <w:sz w:val="28"/>
          <w:szCs w:val="28"/>
        </w:rPr>
        <w:t>国家法律、法规、政策、规章以及规范性文件的变化，紧急措施的出台，相关监管部门监管措施的实施、天津交易中心相关业务规则的修改等，均可能会对交易商参与的现货交易产生影响，可能导致交易商无法买卖或持有商品订单</w:t>
      </w:r>
      <w:r w:rsidRPr="008D0798">
        <w:rPr>
          <w:rFonts w:ascii="仿宋" w:eastAsia="仿宋" w:hAnsi="仿宋" w:cs="仿宋"/>
          <w:kern w:val="2"/>
          <w:sz w:val="28"/>
          <w:szCs w:val="28"/>
        </w:rPr>
        <w:t>/</w:t>
      </w:r>
      <w:r w:rsidRPr="008D0798">
        <w:rPr>
          <w:rFonts w:ascii="仿宋" w:eastAsia="仿宋" w:hAnsi="仿宋" w:cs="仿宋" w:hint="eastAsia"/>
          <w:kern w:val="2"/>
          <w:sz w:val="28"/>
          <w:szCs w:val="28"/>
        </w:rPr>
        <w:t>商品购销合同等，交易商必须承担由此导致的损失</w:t>
      </w:r>
      <w:r w:rsidRPr="008D0798">
        <w:rPr>
          <w:rFonts w:ascii="仿宋" w:eastAsia="仿宋" w:hAnsi="仿宋" w:cs="仿宋"/>
          <w:kern w:val="2"/>
          <w:sz w:val="28"/>
          <w:szCs w:val="28"/>
        </w:rPr>
        <w:t>。</w:t>
      </w:r>
      <w:r w:rsidRPr="008D0798">
        <w:rPr>
          <w:rFonts w:ascii="仿宋" w:eastAsia="仿宋" w:hAnsi="仿宋" w:cs="仿宋" w:hint="eastAsia"/>
          <w:vanish/>
          <w:kern w:val="2"/>
          <w:sz w:val="28"/>
          <w:szCs w:val="28"/>
        </w:rPr>
        <w:cr/>
        <w:t>须承担由此导致的损失。</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hint="eastAsia"/>
          <w:kern w:val="2"/>
          <w:sz w:val="28"/>
          <w:szCs w:val="28"/>
        </w:rPr>
        <w:t>（三）经济周期风险</w:t>
      </w:r>
    </w:p>
    <w:p w:rsidR="00590EB3" w:rsidRPr="008D0798" w:rsidRDefault="0045322C">
      <w:pPr>
        <w:pStyle w:val="cjk"/>
        <w:widowControl w:val="0"/>
        <w:shd w:val="clear" w:color="auto" w:fill="FFFFFF"/>
        <w:spacing w:before="0" w:beforeAutospacing="0" w:after="0" w:afterAutospacing="0" w:line="500" w:lineRule="exact"/>
        <w:ind w:firstLineChars="200" w:firstLine="560"/>
        <w:jc w:val="both"/>
        <w:rPr>
          <w:rFonts w:ascii="仿宋" w:eastAsia="仿宋" w:hAnsi="仿宋" w:cs="仿宋"/>
          <w:kern w:val="2"/>
          <w:sz w:val="28"/>
          <w:szCs w:val="28"/>
        </w:rPr>
      </w:pPr>
      <w:r w:rsidRPr="008D0798">
        <w:rPr>
          <w:rFonts w:ascii="仿宋" w:eastAsia="仿宋" w:hAnsi="仿宋" w:cs="仿宋" w:hint="eastAsia"/>
          <w:kern w:val="2"/>
          <w:sz w:val="28"/>
          <w:szCs w:val="28"/>
        </w:rPr>
        <w:t>现货交易市场受宏观经济运行的影响，而经济运行具有周期性的特点，而周期性的经济运行表现将对现货需求或利率变化产生影响，导致商品价格波动，从而产生风险。</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（四）价格波动风险</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lastRenderedPageBreak/>
        <w:t>商品价格受多种因素的影响(包括但不限于国际国内经济形势、相关市场走势、政治局势、自然因素等)，这些因素对商品价格的影响机制非常复杂，交易商在实际操作中难以全面把握，因而存在出现决策失误的可能性，如果不能有效控制风险，则可能遭受较大的损失，交易商必须承担由此导致的一切损失。</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（五）利率风险</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由于利率波动会直接影响交易商的融资成本和利润水平，使交易商经营成本和财务状况随之发生变化，从而产生风险。</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（六）网络与技术风险</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lang w:eastAsia="zh-Hans"/>
        </w:rPr>
      </w:pPr>
      <w:r w:rsidRPr="008D0798">
        <w:rPr>
          <w:rFonts w:ascii="仿宋" w:eastAsia="仿宋" w:hAnsi="仿宋" w:cs="仿宋"/>
          <w:kern w:val="2"/>
          <w:sz w:val="28"/>
          <w:szCs w:val="28"/>
        </w:rPr>
        <w:t>1.</w:t>
      </w:r>
      <w:r w:rsidRPr="008D0798">
        <w:rPr>
          <w:rFonts w:ascii="仿宋" w:eastAsia="仿宋" w:hAnsi="仿宋" w:cs="仿宋" w:hint="eastAsia"/>
          <w:kern w:val="2"/>
          <w:sz w:val="28"/>
          <w:szCs w:val="28"/>
        </w:rPr>
        <w:t>由于无法控制和不可预测的系统故障、设备故障、通讯故障、电力故障、网络故障及其他因素，可能导致交易系统非正常运行甚至瘫痪，使交易商的交易指令出现延迟、中断、数据错误、无法成交或者无法全部成交等情况，交易商必须承担由此导致的损失</w:t>
      </w:r>
      <w:r w:rsidRPr="008D0798">
        <w:rPr>
          <w:rFonts w:ascii="仿宋" w:eastAsia="仿宋" w:hAnsi="仿宋" w:cs="仿宋" w:hint="eastAsia"/>
          <w:kern w:val="2"/>
          <w:sz w:val="28"/>
          <w:szCs w:val="28"/>
          <w:lang w:eastAsia="zh-Hans"/>
        </w:rPr>
        <w:t>。</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lang w:eastAsia="zh-Hans"/>
        </w:rPr>
      </w:pPr>
      <w:r w:rsidRPr="008D0798">
        <w:rPr>
          <w:rFonts w:ascii="仿宋" w:eastAsia="仿宋" w:hAnsi="仿宋" w:cs="仿宋"/>
          <w:kern w:val="2"/>
          <w:sz w:val="28"/>
          <w:szCs w:val="28"/>
        </w:rPr>
        <w:t>2.</w:t>
      </w:r>
      <w:r w:rsidRPr="008D0798">
        <w:rPr>
          <w:rFonts w:ascii="仿宋" w:eastAsia="仿宋" w:hAnsi="仿宋" w:cs="仿宋" w:hint="eastAsia"/>
          <w:kern w:val="2"/>
          <w:sz w:val="28"/>
          <w:szCs w:val="28"/>
        </w:rPr>
        <w:t>由于网上交易系统存在被网络黑客和计算机病毒等攻击的可能性，由此可能导致系统故障，使交易无法进行及行情信息出现错误或延迟，交易商必须承担由此导致的损失</w:t>
      </w:r>
      <w:r w:rsidRPr="008D0798">
        <w:rPr>
          <w:rFonts w:ascii="仿宋" w:eastAsia="仿宋" w:hAnsi="仿宋" w:cs="仿宋" w:hint="eastAsia"/>
          <w:kern w:val="2"/>
          <w:sz w:val="28"/>
          <w:szCs w:val="28"/>
          <w:lang w:eastAsia="zh-Hans"/>
        </w:rPr>
        <w:t>。</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lang w:eastAsia="zh-Hans"/>
        </w:rPr>
      </w:pPr>
      <w:r w:rsidRPr="008D0798">
        <w:rPr>
          <w:rFonts w:ascii="仿宋" w:eastAsia="仿宋" w:hAnsi="仿宋" w:cs="仿宋"/>
          <w:kern w:val="2"/>
          <w:sz w:val="28"/>
          <w:szCs w:val="28"/>
        </w:rPr>
        <w:t>3.</w:t>
      </w:r>
      <w:r w:rsidRPr="008D0798">
        <w:rPr>
          <w:rFonts w:ascii="仿宋" w:eastAsia="仿宋" w:hAnsi="仿宋" w:cs="仿宋" w:hint="eastAsia"/>
          <w:kern w:val="2"/>
          <w:sz w:val="28"/>
          <w:szCs w:val="28"/>
        </w:rPr>
        <w:t>由于互联网上的数据传输可能因通信繁忙等原因出现延迟、中断、数据错误或不完整，从而使网上交易及行情出现延迟、中断、数据错误或不完整，交易商必须承担由此导致的损失</w:t>
      </w:r>
      <w:r w:rsidRPr="008D0798">
        <w:rPr>
          <w:rFonts w:ascii="仿宋" w:eastAsia="仿宋" w:hAnsi="仿宋" w:cs="仿宋" w:hint="eastAsia"/>
          <w:kern w:val="2"/>
          <w:sz w:val="28"/>
          <w:szCs w:val="28"/>
          <w:lang w:eastAsia="zh-Hans"/>
        </w:rPr>
        <w:t>。</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lang w:eastAsia="zh-Hans"/>
        </w:rPr>
      </w:pPr>
      <w:r w:rsidRPr="008D0798">
        <w:rPr>
          <w:rFonts w:ascii="仿宋" w:eastAsia="仿宋" w:hAnsi="仿宋" w:cs="仿宋"/>
          <w:kern w:val="2"/>
          <w:sz w:val="28"/>
          <w:szCs w:val="28"/>
        </w:rPr>
        <w:t>4.</w:t>
      </w:r>
      <w:r w:rsidRPr="008D0798">
        <w:rPr>
          <w:rFonts w:ascii="仿宋" w:eastAsia="仿宋" w:hAnsi="仿宋" w:cs="仿宋" w:hint="eastAsia"/>
          <w:kern w:val="2"/>
          <w:sz w:val="28"/>
          <w:szCs w:val="28"/>
        </w:rPr>
        <w:t>由于交易商未充分了解现货交易及交易系统的实际功能、信息来源、固有缺陷和使用风险，导致交易商对软件使用不当，造成决策和操作失误，交易商必须承担由此导致的损失</w:t>
      </w:r>
      <w:r w:rsidRPr="008D0798">
        <w:rPr>
          <w:rFonts w:ascii="仿宋" w:eastAsia="仿宋" w:hAnsi="仿宋" w:cs="仿宋" w:hint="eastAsia"/>
          <w:kern w:val="2"/>
          <w:sz w:val="28"/>
          <w:szCs w:val="28"/>
          <w:lang w:eastAsia="zh-Hans"/>
        </w:rPr>
        <w:t>。</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lang w:eastAsia="zh-Hans"/>
        </w:rPr>
      </w:pPr>
      <w:r w:rsidRPr="008D0798">
        <w:rPr>
          <w:rFonts w:ascii="仿宋" w:eastAsia="仿宋" w:hAnsi="仿宋" w:cs="仿宋"/>
          <w:kern w:val="2"/>
          <w:sz w:val="28"/>
          <w:szCs w:val="28"/>
        </w:rPr>
        <w:t>5.</w:t>
      </w:r>
      <w:r w:rsidRPr="008D0798">
        <w:rPr>
          <w:rFonts w:ascii="仿宋" w:eastAsia="仿宋" w:hAnsi="仿宋" w:cs="仿宋" w:hint="eastAsia"/>
          <w:kern w:val="2"/>
          <w:sz w:val="28"/>
          <w:szCs w:val="28"/>
        </w:rPr>
        <w:t>由于交易商的网络终端设备及软件系统与天津交易中心所提供的网上交易系统不兼容，可能导致</w:t>
      </w:r>
      <w:r w:rsidRPr="008D0798">
        <w:rPr>
          <w:rFonts w:ascii="仿宋" w:eastAsia="仿宋" w:hAnsi="仿宋" w:cs="仿宋"/>
          <w:kern w:val="2"/>
          <w:sz w:val="28"/>
          <w:szCs w:val="28"/>
        </w:rPr>
        <w:t>交易指令无法下达，如</w:t>
      </w:r>
      <w:r w:rsidRPr="008D0798">
        <w:rPr>
          <w:rFonts w:ascii="仿宋" w:eastAsia="仿宋" w:hAnsi="仿宋" w:cs="仿宋" w:hint="eastAsia"/>
          <w:kern w:val="2"/>
          <w:sz w:val="28"/>
          <w:szCs w:val="28"/>
        </w:rPr>
        <w:t>无法下达（或终止）委托或下达（或终止）委托失败、无法订立（或转让）订单或订立（含转让）失败、无法签署商品购销合同等，交易商必须承担由此导致的损失</w:t>
      </w:r>
      <w:r w:rsidRPr="008D0798">
        <w:rPr>
          <w:rFonts w:ascii="仿宋" w:eastAsia="仿宋" w:hAnsi="仿宋" w:cs="仿宋" w:hint="eastAsia"/>
          <w:kern w:val="2"/>
          <w:sz w:val="28"/>
          <w:szCs w:val="28"/>
          <w:lang w:eastAsia="zh-Hans"/>
        </w:rPr>
        <w:t>。</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lang w:eastAsia="zh-Hans"/>
        </w:rPr>
      </w:pPr>
      <w:r w:rsidRPr="008D0798">
        <w:rPr>
          <w:rFonts w:ascii="仿宋" w:eastAsia="仿宋" w:hAnsi="仿宋" w:cs="仿宋"/>
          <w:kern w:val="2"/>
          <w:sz w:val="28"/>
          <w:szCs w:val="28"/>
        </w:rPr>
        <w:lastRenderedPageBreak/>
        <w:t>6.</w:t>
      </w:r>
      <w:r w:rsidRPr="008D0798">
        <w:rPr>
          <w:rFonts w:ascii="仿宋" w:eastAsia="仿宋" w:hAnsi="仿宋" w:cs="仿宋" w:hint="eastAsia"/>
          <w:kern w:val="2"/>
          <w:sz w:val="28"/>
          <w:szCs w:val="28"/>
        </w:rPr>
        <w:t>如果交易</w:t>
      </w:r>
      <w:proofErr w:type="gramStart"/>
      <w:r w:rsidRPr="008D0798">
        <w:rPr>
          <w:rFonts w:ascii="仿宋" w:eastAsia="仿宋" w:hAnsi="仿宋" w:cs="仿宋" w:hint="eastAsia"/>
          <w:kern w:val="2"/>
          <w:sz w:val="28"/>
          <w:szCs w:val="28"/>
        </w:rPr>
        <w:t>商缺乏</w:t>
      </w:r>
      <w:proofErr w:type="gramEnd"/>
      <w:r w:rsidRPr="008D0798">
        <w:rPr>
          <w:rFonts w:ascii="仿宋" w:eastAsia="仿宋" w:hAnsi="仿宋" w:cs="仿宋" w:hint="eastAsia"/>
          <w:kern w:val="2"/>
          <w:sz w:val="28"/>
          <w:szCs w:val="28"/>
        </w:rPr>
        <w:t>网上交易经验，可能因操作不当造成交易失败或交易失误，交易商必须承担由此导致的损失</w:t>
      </w:r>
      <w:r w:rsidRPr="008D0798">
        <w:rPr>
          <w:rFonts w:ascii="仿宋" w:eastAsia="仿宋" w:hAnsi="仿宋" w:cs="仿宋" w:hint="eastAsia"/>
          <w:kern w:val="2"/>
          <w:sz w:val="28"/>
          <w:szCs w:val="28"/>
          <w:lang w:eastAsia="zh-Hans"/>
        </w:rPr>
        <w:t>。</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kern w:val="2"/>
          <w:sz w:val="28"/>
          <w:szCs w:val="28"/>
        </w:rPr>
        <w:t>7.</w:t>
      </w:r>
      <w:r w:rsidRPr="008D0798">
        <w:rPr>
          <w:rFonts w:ascii="仿宋" w:eastAsia="仿宋" w:hAnsi="仿宋" w:cs="仿宋" w:hint="eastAsia"/>
          <w:kern w:val="2"/>
          <w:sz w:val="28"/>
          <w:szCs w:val="28"/>
        </w:rPr>
        <w:t>交易商的交易密码可能失密或被他人盗用，交易商必须承担由此导致的损失。</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（七）信用风险</w:t>
      </w:r>
      <w:r w:rsidRPr="008D0798">
        <w:rPr>
          <w:rFonts w:ascii="仿宋" w:eastAsia="仿宋" w:hAnsi="仿宋" w:cs="仿宋"/>
          <w:kern w:val="2"/>
          <w:sz w:val="28"/>
          <w:szCs w:val="28"/>
        </w:rPr>
        <w:t xml:space="preserve"> </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信用风险是指交易对手方未能履行协议中的义务而造成经济损失等风险，如交易对手方提供的商品不符合约定。天津交易中心无法在事先对商品信息的真实性、合法性、准确性、及时性、有效性等进行全面审查，贵公司应谨慎判断。</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（八）不可抗力风险</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任何因天津交易中心不能控制、不能预见或防范、不能避免并不能克服的事件，包括但不限于地震、台风、水灾、火灾、暴动、罢工、战争、恐怖袭击、政府行为、法律规定或适用的变更、国际或国内的禁令或限制以及停电、系统故障、技术故障、电子故障等，可能会对交易商的交易产生影响，交易商应该充分了解并承担由此造成的全部损失。</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二、特别提示</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kern w:val="2"/>
          <w:sz w:val="28"/>
          <w:szCs w:val="28"/>
        </w:rPr>
        <w:t>1.</w:t>
      </w:r>
      <w:r w:rsidRPr="008D0798">
        <w:rPr>
          <w:rFonts w:ascii="仿宋" w:eastAsia="仿宋" w:hAnsi="仿宋" w:cs="仿宋" w:hint="eastAsia"/>
          <w:kern w:val="2"/>
          <w:sz w:val="28"/>
          <w:szCs w:val="28"/>
        </w:rPr>
        <w:t>交易商在参与交易之前务必详尽的了解交易商品的基本知识和相关风险以及天津交易中心有关的业务规则等，依法合</w:t>
      </w:r>
      <w:proofErr w:type="gramStart"/>
      <w:r w:rsidRPr="008D0798">
        <w:rPr>
          <w:rFonts w:ascii="仿宋" w:eastAsia="仿宋" w:hAnsi="仿宋" w:cs="仿宋" w:hint="eastAsia"/>
          <w:kern w:val="2"/>
          <w:sz w:val="28"/>
          <w:szCs w:val="28"/>
        </w:rPr>
        <w:t>规</w:t>
      </w:r>
      <w:proofErr w:type="gramEnd"/>
      <w:r w:rsidRPr="008D0798">
        <w:rPr>
          <w:rFonts w:ascii="仿宋" w:eastAsia="仿宋" w:hAnsi="仿宋" w:cs="仿宋" w:hint="eastAsia"/>
          <w:kern w:val="2"/>
          <w:sz w:val="28"/>
          <w:szCs w:val="28"/>
        </w:rPr>
        <w:t>地从事现货交易。</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kern w:val="2"/>
          <w:sz w:val="28"/>
          <w:szCs w:val="28"/>
        </w:rPr>
        <w:t>2.</w:t>
      </w:r>
      <w:r w:rsidRPr="008D0798">
        <w:rPr>
          <w:rFonts w:ascii="仿宋" w:eastAsia="仿宋" w:hAnsi="仿宋" w:cs="仿宋" w:hint="eastAsia"/>
          <w:kern w:val="2"/>
          <w:sz w:val="28"/>
          <w:szCs w:val="28"/>
        </w:rPr>
        <w:t>天津交易中心为了确保市场“公开、公平、公正”和健康稳定地发展，将采取更加严格的措施，强化市场监管。请交易商务</w:t>
      </w:r>
      <w:proofErr w:type="gramStart"/>
      <w:r w:rsidRPr="008D0798">
        <w:rPr>
          <w:rFonts w:ascii="仿宋" w:eastAsia="仿宋" w:hAnsi="仿宋" w:cs="仿宋" w:hint="eastAsia"/>
          <w:kern w:val="2"/>
          <w:sz w:val="28"/>
          <w:szCs w:val="28"/>
        </w:rPr>
        <w:t>必密切</w:t>
      </w:r>
      <w:proofErr w:type="gramEnd"/>
      <w:r w:rsidRPr="008D0798">
        <w:rPr>
          <w:rFonts w:ascii="仿宋" w:eastAsia="仿宋" w:hAnsi="仿宋" w:cs="仿宋" w:hint="eastAsia"/>
          <w:kern w:val="2"/>
          <w:sz w:val="28"/>
          <w:szCs w:val="28"/>
        </w:rPr>
        <w:t>关注天津交易中心的公告、通知、风险提醒等信息，及时了解市场风险状况，做到理性交易，切忌盲目跟风。</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kern w:val="2"/>
          <w:sz w:val="28"/>
          <w:szCs w:val="28"/>
        </w:rPr>
        <w:t>3.</w:t>
      </w:r>
      <w:r w:rsidRPr="008D0798">
        <w:rPr>
          <w:rFonts w:ascii="仿宋" w:eastAsia="仿宋" w:hAnsi="仿宋" w:cs="仿宋" w:hint="eastAsia"/>
          <w:kern w:val="2"/>
          <w:sz w:val="28"/>
          <w:szCs w:val="28"/>
        </w:rPr>
        <w:t>本《风险提示书》尽力告知交易过程中可能发生的各种风险因素。但鉴于市场的多变和复杂，以上说明事项仅为列举性质，未能详尽列明交易商参与现货交易所面临的全部风险和可能导致其资产损</w:t>
      </w:r>
      <w:r w:rsidRPr="008D0798">
        <w:rPr>
          <w:rFonts w:ascii="仿宋" w:eastAsia="仿宋" w:hAnsi="仿宋" w:cs="仿宋" w:hint="eastAsia"/>
          <w:kern w:val="2"/>
          <w:sz w:val="28"/>
          <w:szCs w:val="28"/>
        </w:rPr>
        <w:lastRenderedPageBreak/>
        <w:t>失的所有因素，因此，在签订《天津国际油气交易中心交易商入市协议》及进行交易前，交易商应仔细阅读并确保自己充分理解天津交易中心相关业务规则、本《风险提示书》及交易须知等文件，并依据自身的经济实力、商品认知能力、风险控制能力等做好足够的风险评估与财务安排，审慎地自行决定是否参与天津交易中心的现货交易，避免因参与现货交易而遭受难以承受的损失。</w:t>
      </w:r>
    </w:p>
    <w:p w:rsidR="00590EB3" w:rsidRPr="008D0798" w:rsidRDefault="0045322C">
      <w:pPr>
        <w:pStyle w:val="a9"/>
        <w:shd w:val="clear" w:color="auto" w:fill="FFFFFF"/>
        <w:spacing w:beforeAutospacing="0" w:afterAutospacing="0" w:line="500" w:lineRule="exact"/>
        <w:ind w:firstLineChars="200" w:firstLine="560"/>
        <w:jc w:val="both"/>
        <w:textAlignment w:val="baseline"/>
        <w:rPr>
          <w:rFonts w:ascii="仿宋" w:eastAsia="仿宋" w:hAnsi="仿宋" w:cs="仿宋"/>
          <w:kern w:val="2"/>
          <w:sz w:val="28"/>
          <w:szCs w:val="28"/>
        </w:rPr>
      </w:pPr>
      <w:r w:rsidRPr="008D0798">
        <w:rPr>
          <w:rFonts w:ascii="仿宋" w:eastAsia="仿宋" w:hAnsi="仿宋" w:cs="仿宋" w:hint="eastAsia"/>
          <w:kern w:val="2"/>
          <w:sz w:val="28"/>
          <w:szCs w:val="28"/>
        </w:rPr>
        <w:t>如交易商对于本《风险提示书》有任何的不理解或异议，请及时咨询专业顾问或天津交易中心相关人员。</w:t>
      </w:r>
    </w:p>
    <w:p w:rsidR="00590EB3" w:rsidRPr="008D0798" w:rsidRDefault="0045322C">
      <w:pPr>
        <w:spacing w:line="500" w:lineRule="exact"/>
        <w:ind w:firstLineChars="200" w:firstLine="562"/>
        <w:rPr>
          <w:rFonts w:ascii="仿宋" w:eastAsia="仿宋" w:hAnsi="仿宋" w:cs="仿宋"/>
          <w:b/>
          <w:bCs/>
          <w:i/>
          <w:sz w:val="28"/>
          <w:szCs w:val="28"/>
          <w:u w:val="single"/>
        </w:rPr>
      </w:pPr>
      <w:r w:rsidRPr="008D0798">
        <w:rPr>
          <w:rFonts w:ascii="仿宋" w:eastAsia="仿宋" w:hAnsi="仿宋" w:cs="仿宋" w:hint="eastAsia"/>
          <w:b/>
          <w:bCs/>
          <w:i/>
          <w:sz w:val="28"/>
          <w:szCs w:val="28"/>
          <w:u w:val="single"/>
        </w:rPr>
        <w:t>本人代表本机构已认真阅读以上风险说明并完全理解和同意，自愿承担由此造成的风险，以及由此带来的一切可能的损失。</w:t>
      </w:r>
    </w:p>
    <w:p w:rsidR="00590EB3" w:rsidRPr="008D0798" w:rsidRDefault="0045322C">
      <w:pPr>
        <w:spacing w:line="500" w:lineRule="exact"/>
        <w:ind w:firstLineChars="200" w:firstLine="562"/>
        <w:rPr>
          <w:rFonts w:ascii="仿宋" w:eastAsia="仿宋" w:hAnsi="仿宋" w:cs="仿宋"/>
          <w:b/>
          <w:bCs/>
          <w:sz w:val="28"/>
          <w:szCs w:val="28"/>
          <w:lang w:eastAsia="zh-Hans"/>
        </w:rPr>
      </w:pPr>
      <w:r w:rsidRPr="008D0798">
        <w:rPr>
          <w:rFonts w:ascii="仿宋" w:eastAsia="仿宋" w:hAnsi="仿宋" w:cs="仿宋" w:hint="eastAsia"/>
          <w:b/>
          <w:bCs/>
          <w:sz w:val="28"/>
          <w:szCs w:val="28"/>
          <w:lang w:eastAsia="zh-Hans"/>
        </w:rPr>
        <w:t>重要提示：交易商通过</w:t>
      </w:r>
      <w:r w:rsidRPr="008D0798">
        <w:rPr>
          <w:rFonts w:ascii="仿宋" w:eastAsia="仿宋" w:hAnsi="仿宋" w:cs="仿宋" w:hint="eastAsia"/>
          <w:b/>
          <w:bCs/>
          <w:sz w:val="28"/>
          <w:szCs w:val="28"/>
        </w:rPr>
        <w:t>天津</w:t>
      </w:r>
      <w:r w:rsidRPr="008D0798">
        <w:rPr>
          <w:rFonts w:ascii="仿宋" w:eastAsia="仿宋" w:hAnsi="仿宋" w:cs="仿宋" w:hint="eastAsia"/>
          <w:b/>
          <w:bCs/>
          <w:sz w:val="28"/>
          <w:szCs w:val="28"/>
          <w:lang w:eastAsia="zh-Hans"/>
        </w:rPr>
        <w:t>交易中心交易系统点击</w:t>
      </w:r>
      <w:r w:rsidRPr="008D0798">
        <w:rPr>
          <w:rFonts w:ascii="仿宋" w:eastAsia="仿宋" w:hAnsi="仿宋" w:cs="仿宋" w:hint="eastAsia"/>
          <w:b/>
          <w:bCs/>
          <w:sz w:val="28"/>
          <w:szCs w:val="28"/>
        </w:rPr>
        <w:t>确认</w:t>
      </w:r>
      <w:r w:rsidRPr="008D0798">
        <w:rPr>
          <w:rFonts w:ascii="仿宋" w:eastAsia="仿宋" w:hAnsi="仿宋" w:cs="仿宋" w:hint="eastAsia"/>
          <w:b/>
          <w:bCs/>
          <w:sz w:val="28"/>
          <w:szCs w:val="28"/>
          <w:lang w:eastAsia="zh-Hans"/>
        </w:rPr>
        <w:t>本文件并成功提交后，则代表交易商认可本文件的全部内容。</w:t>
      </w:r>
    </w:p>
    <w:sectPr w:rsidR="00590EB3" w:rsidRPr="008D079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286" w:rsidRDefault="00175286">
      <w:r>
        <w:separator/>
      </w:r>
    </w:p>
  </w:endnote>
  <w:endnote w:type="continuationSeparator" w:id="0">
    <w:p w:rsidR="00175286" w:rsidRDefault="00175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汉仪书宋二KW"/>
    <w:charset w:val="86"/>
    <w:family w:val="auto"/>
    <w:pitch w:val="default"/>
    <w:sig w:usb0="00000000" w:usb1="00000000" w:usb2="0000000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413763"/>
    </w:sdtPr>
    <w:sdtEndPr>
      <w:rPr>
        <w:rFonts w:ascii="宋体" w:eastAsia="宋体" w:hAnsi="宋体"/>
        <w:sz w:val="21"/>
        <w:szCs w:val="21"/>
      </w:rPr>
    </w:sdtEndPr>
    <w:sdtContent>
      <w:sdt>
        <w:sdtPr>
          <w:id w:val="1728636285"/>
        </w:sdtPr>
        <w:sdtEndPr>
          <w:rPr>
            <w:rFonts w:ascii="宋体" w:eastAsia="宋体" w:hAnsi="宋体"/>
            <w:sz w:val="21"/>
            <w:szCs w:val="21"/>
          </w:rPr>
        </w:sdtEndPr>
        <w:sdtContent>
          <w:p w:rsidR="00590EB3" w:rsidRDefault="0045322C">
            <w:pPr>
              <w:pStyle w:val="a6"/>
              <w:jc w:val="center"/>
              <w:rPr>
                <w:rFonts w:ascii="宋体" w:eastAsia="宋体" w:hAnsi="宋体"/>
                <w:sz w:val="21"/>
                <w:szCs w:val="21"/>
              </w:rPr>
            </w:pPr>
            <w:r>
              <w:rPr>
                <w:lang w:val="zh-CN"/>
              </w:rPr>
              <w:t xml:space="preserve"> </w:t>
            </w:r>
            <w:r>
              <w:rPr>
                <w:rFonts w:ascii="宋体" w:eastAsia="宋体" w:hAnsi="宋体"/>
                <w:b/>
                <w:bCs/>
                <w:sz w:val="21"/>
                <w:szCs w:val="21"/>
              </w:rPr>
              <w:fldChar w:fldCharType="begin"/>
            </w:r>
            <w:r>
              <w:rPr>
                <w:rFonts w:ascii="宋体" w:eastAsia="宋体" w:hAnsi="宋体"/>
                <w:b/>
                <w:bCs/>
                <w:sz w:val="21"/>
                <w:szCs w:val="21"/>
              </w:rPr>
              <w:instrText>PAGE</w:instrText>
            </w:r>
            <w:r>
              <w:rPr>
                <w:rFonts w:ascii="宋体" w:eastAsia="宋体" w:hAnsi="宋体"/>
                <w:b/>
                <w:bCs/>
                <w:sz w:val="21"/>
                <w:szCs w:val="21"/>
              </w:rPr>
              <w:fldChar w:fldCharType="separate"/>
            </w:r>
            <w:r w:rsidR="00E06EA9">
              <w:rPr>
                <w:rFonts w:ascii="宋体" w:eastAsia="宋体" w:hAnsi="宋体"/>
                <w:b/>
                <w:bCs/>
                <w:noProof/>
                <w:sz w:val="21"/>
                <w:szCs w:val="21"/>
              </w:rPr>
              <w:t>2</w:t>
            </w:r>
            <w:r>
              <w:rPr>
                <w:rFonts w:ascii="宋体" w:eastAsia="宋体" w:hAnsi="宋体"/>
                <w:b/>
                <w:bCs/>
                <w:sz w:val="21"/>
                <w:szCs w:val="21"/>
              </w:rPr>
              <w:fldChar w:fldCharType="end"/>
            </w:r>
            <w:r>
              <w:rPr>
                <w:rFonts w:ascii="宋体" w:eastAsia="宋体" w:hAnsi="宋体"/>
                <w:sz w:val="21"/>
                <w:szCs w:val="21"/>
                <w:lang w:val="zh-CN"/>
              </w:rPr>
              <w:t xml:space="preserve"> / </w:t>
            </w:r>
            <w:r>
              <w:rPr>
                <w:rFonts w:ascii="宋体" w:eastAsia="宋体" w:hAnsi="宋体"/>
                <w:b/>
                <w:bCs/>
                <w:sz w:val="21"/>
                <w:szCs w:val="21"/>
              </w:rPr>
              <w:fldChar w:fldCharType="begin"/>
            </w:r>
            <w:r>
              <w:rPr>
                <w:rFonts w:ascii="宋体" w:eastAsia="宋体" w:hAnsi="宋体"/>
                <w:b/>
                <w:bCs/>
                <w:sz w:val="21"/>
                <w:szCs w:val="21"/>
              </w:rPr>
              <w:instrText>NUMPAGES</w:instrText>
            </w:r>
            <w:r>
              <w:rPr>
                <w:rFonts w:ascii="宋体" w:eastAsia="宋体" w:hAnsi="宋体"/>
                <w:b/>
                <w:bCs/>
                <w:sz w:val="21"/>
                <w:szCs w:val="21"/>
              </w:rPr>
              <w:fldChar w:fldCharType="separate"/>
            </w:r>
            <w:r w:rsidR="00E06EA9">
              <w:rPr>
                <w:rFonts w:ascii="宋体" w:eastAsia="宋体" w:hAnsi="宋体"/>
                <w:b/>
                <w:bCs/>
                <w:noProof/>
                <w:sz w:val="21"/>
                <w:szCs w:val="21"/>
              </w:rPr>
              <w:t>6</w:t>
            </w:r>
            <w:r>
              <w:rPr>
                <w:rFonts w:ascii="宋体" w:eastAsia="宋体" w:hAnsi="宋体"/>
                <w:b/>
                <w:bCs/>
                <w:sz w:val="21"/>
                <w:szCs w:val="21"/>
              </w:rPr>
              <w:fldChar w:fldCharType="end"/>
            </w:r>
          </w:p>
        </w:sdtContent>
      </w:sdt>
    </w:sdtContent>
  </w:sdt>
  <w:p w:rsidR="00590EB3" w:rsidRDefault="00590EB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286" w:rsidRDefault="00175286">
      <w:r>
        <w:separator/>
      </w:r>
    </w:p>
  </w:footnote>
  <w:footnote w:type="continuationSeparator" w:id="0">
    <w:p w:rsidR="00175286" w:rsidRDefault="00175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MDA4NDk5ZTU5MWY3MWFiNmIyM2FlYWM1Mjc3Y2YifQ=="/>
  </w:docVars>
  <w:rsids>
    <w:rsidRoot w:val="00741D29"/>
    <w:rsid w:val="AF6FD7F7"/>
    <w:rsid w:val="BD8D0D10"/>
    <w:rsid w:val="EFE74AB1"/>
    <w:rsid w:val="F1CBC1AA"/>
    <w:rsid w:val="FFE61797"/>
    <w:rsid w:val="00006782"/>
    <w:rsid w:val="00054FD8"/>
    <w:rsid w:val="00092700"/>
    <w:rsid w:val="000B72A9"/>
    <w:rsid w:val="00147B05"/>
    <w:rsid w:val="00175286"/>
    <w:rsid w:val="00210F6C"/>
    <w:rsid w:val="00220537"/>
    <w:rsid w:val="0034615B"/>
    <w:rsid w:val="00385DD3"/>
    <w:rsid w:val="003C7031"/>
    <w:rsid w:val="00406780"/>
    <w:rsid w:val="00421C18"/>
    <w:rsid w:val="00440819"/>
    <w:rsid w:val="0045322C"/>
    <w:rsid w:val="00465C1C"/>
    <w:rsid w:val="004979ED"/>
    <w:rsid w:val="0053717D"/>
    <w:rsid w:val="0054418B"/>
    <w:rsid w:val="00560FFA"/>
    <w:rsid w:val="00566D74"/>
    <w:rsid w:val="00590EB3"/>
    <w:rsid w:val="006A52F7"/>
    <w:rsid w:val="006E7A32"/>
    <w:rsid w:val="006F050A"/>
    <w:rsid w:val="00741D29"/>
    <w:rsid w:val="007B14B9"/>
    <w:rsid w:val="007D5EDA"/>
    <w:rsid w:val="00890017"/>
    <w:rsid w:val="008A1B28"/>
    <w:rsid w:val="008B713A"/>
    <w:rsid w:val="008D0798"/>
    <w:rsid w:val="00952D86"/>
    <w:rsid w:val="009B4ACC"/>
    <w:rsid w:val="009C6EB8"/>
    <w:rsid w:val="009E6E20"/>
    <w:rsid w:val="00A43A49"/>
    <w:rsid w:val="00A54610"/>
    <w:rsid w:val="00B31555"/>
    <w:rsid w:val="00BB68BC"/>
    <w:rsid w:val="00BE38A4"/>
    <w:rsid w:val="00C0271B"/>
    <w:rsid w:val="00C17E9A"/>
    <w:rsid w:val="00CA5526"/>
    <w:rsid w:val="00CB0DA6"/>
    <w:rsid w:val="00CC3D71"/>
    <w:rsid w:val="00D43E1D"/>
    <w:rsid w:val="00E06EA9"/>
    <w:rsid w:val="00E11B93"/>
    <w:rsid w:val="00E853AC"/>
    <w:rsid w:val="00EB09DB"/>
    <w:rsid w:val="00EC1519"/>
    <w:rsid w:val="00EE5EAB"/>
    <w:rsid w:val="00EF4E6F"/>
    <w:rsid w:val="00F15C75"/>
    <w:rsid w:val="00F840A9"/>
    <w:rsid w:val="00FE76A0"/>
    <w:rsid w:val="47EF60E8"/>
    <w:rsid w:val="5EFE47B3"/>
    <w:rsid w:val="6EF22CC3"/>
    <w:rsid w:val="7162613F"/>
    <w:rsid w:val="79FCFA82"/>
    <w:rsid w:val="7BCD77E9"/>
    <w:rsid w:val="7CFB7823"/>
    <w:rsid w:val="7DC334A2"/>
    <w:rsid w:val="7DFB2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620D28"/>
  <w15:docId w15:val="{235F0651-CD4E-413F-B930-F6DB42F2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rPr>
  </w:style>
  <w:style w:type="paragraph" w:styleId="a8">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pPr>
      <w:spacing w:beforeAutospacing="1" w:afterAutospacing="1"/>
      <w:jc w:val="left"/>
    </w:pPr>
    <w:rPr>
      <w:rFonts w:cs="Times New Roman"/>
      <w:kern w:val="0"/>
      <w:sz w:val="24"/>
    </w:rPr>
  </w:style>
  <w:style w:type="character" w:styleId="aa">
    <w:name w:val="annotation reference"/>
    <w:basedOn w:val="a0"/>
    <w:uiPriority w:val="99"/>
    <w:semiHidden/>
    <w:unhideWhenUsed/>
    <w:rPr>
      <w:sz w:val="21"/>
      <w:szCs w:val="21"/>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rPr>
  </w:style>
  <w:style w:type="character" w:customStyle="1" w:styleId="a5">
    <w:name w:val="批注框文本 字符"/>
    <w:basedOn w:val="a0"/>
    <w:link w:val="a4"/>
    <w:uiPriority w:val="99"/>
    <w:semiHidden/>
    <w:rPr>
      <w:kern w:val="2"/>
      <w:sz w:val="18"/>
      <w:szCs w:val="18"/>
    </w:rPr>
  </w:style>
  <w:style w:type="character" w:customStyle="1" w:styleId="a7">
    <w:name w:val="页脚 字符"/>
    <w:basedOn w:val="a0"/>
    <w:link w:val="a6"/>
    <w:uiPriority w:val="99"/>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560</Words>
  <Characters>3198</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卢凯龙</dc:creator>
  <cp:lastModifiedBy>AHX</cp:lastModifiedBy>
  <cp:revision>5</cp:revision>
  <dcterms:created xsi:type="dcterms:W3CDTF">2026-05-19T07:04:00Z</dcterms:created>
  <dcterms:modified xsi:type="dcterms:W3CDTF">2026-05-25T02:09:00Z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2052-11.8.2.10440</vt:lpwstr>
  </property>
  <property fmtid="{D5CDD505-2E9C-101B-9397-08002B2CF9AE}" pid="3" name="ICV">
    <vt:lpwstr>1D0A6F26C321449E96BFA14FE0C97A70_13</vt:lpwstr>
  </property>
</Properties>
</file>